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6" w:lineRule="exact"/>
        <w:rPr>
          <w:sz w:val="24"/>
          <w:szCs w:val="24"/>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 Filed Pursuant to Rule 424(b)(3)​</w:t>
      </w: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 Registration No. 333-269023​</w:t>
      </w:r>
    </w:p>
    <w:p>
      <w:pPr>
        <w:spacing w:after="0" w:line="5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 the Prospectus dated January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2291715</wp:posOffset>
            </wp:positionH>
            <wp:positionV relativeFrom="paragraph">
              <wp:posOffset>100330</wp:posOffset>
            </wp:positionV>
            <wp:extent cx="222885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8850"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5,250,000 Shares</w:t>
      </w:r>
    </w:p>
    <w:p>
      <w:pPr>
        <w:spacing w:after="0" w:line="20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Sun Country Airlines Holdings, Inc.</w:t>
      </w:r>
    </w:p>
    <w:p>
      <w:pPr>
        <w:spacing w:after="0" w:line="21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135890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8" w:lineRule="exact"/>
        <w:rPr>
          <w:sz w:val="24"/>
          <w:szCs w:val="24"/>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7"/>
          <w:szCs w:val="17"/>
          <w:color w:val="auto"/>
        </w:rPr>
        <w:t>The information included or incorporated by reference in this prospectus supplement relates to the resale of an aggregate of 5,250,000 shares of common stock of Sun Country Airlines Holdings, Inc., a Delaware corporation, by SCA Horus Holdings, LLC, or the selling stockholder. In addition, the selling stockholder has granted the underwriter an option to purchase up to an additional 787,500 shares of common stock.</w:t>
      </w:r>
    </w:p>
    <w:p>
      <w:pPr>
        <w:spacing w:after="0" w:line="50" w:lineRule="exact"/>
        <w:rPr>
          <w:sz w:val="24"/>
          <w:szCs w:val="24"/>
          <w:color w:val="auto"/>
        </w:rPr>
      </w:pPr>
    </w:p>
    <w:p>
      <w:pPr>
        <w:ind w:left="1260" w:right="559" w:firstLine="360"/>
        <w:spacing w:after="0" w:line="273" w:lineRule="auto"/>
        <w:rPr>
          <w:sz w:val="20"/>
          <w:szCs w:val="20"/>
          <w:color w:val="auto"/>
        </w:rPr>
      </w:pPr>
      <w:r>
        <w:rPr>
          <w:rFonts w:ascii="Times New Roman" w:cs="Times New Roman" w:eastAsia="Times New Roman" w:hAnsi="Times New Roman"/>
          <w:sz w:val="17"/>
          <w:szCs w:val="17"/>
          <w:color w:val="auto"/>
        </w:rPr>
        <w:t>Our shares of common stock are listed on the Nasdaq Global Select Market, or “Nasdaq,” under the symbol “SNCY.” On February 14, 2023, the last reported sale price per share of our common stock on Nasdaq was $20.95.</w:t>
      </w:r>
    </w:p>
    <w:p>
      <w:pPr>
        <w:spacing w:after="0" w:line="244" w:lineRule="exact"/>
        <w:rPr>
          <w:sz w:val="24"/>
          <w:szCs w:val="24"/>
          <w:color w:val="auto"/>
        </w:rPr>
      </w:pPr>
    </w:p>
    <w:p>
      <w:pPr>
        <w:ind w:left="1260" w:right="1199" w:firstLine="360"/>
        <w:spacing w:after="0" w:line="281" w:lineRule="auto"/>
        <w:rPr>
          <w:sz w:val="20"/>
          <w:szCs w:val="20"/>
          <w:color w:val="auto"/>
        </w:rPr>
      </w:pPr>
      <w:r>
        <w:rPr>
          <w:rFonts w:ascii="Times New Roman" w:cs="Times New Roman" w:eastAsia="Times New Roman" w:hAnsi="Times New Roman"/>
          <w:sz w:val="17"/>
          <w:szCs w:val="17"/>
          <w:color w:val="auto"/>
        </w:rPr>
        <w:t>We will not receive any of the proceeds from the sale of the shares of common stock by the selling stockholder.</w:t>
      </w:r>
    </w:p>
    <w:p>
      <w:pPr>
        <w:spacing w:after="0" w:line="28" w:lineRule="exact"/>
        <w:rPr>
          <w:sz w:val="24"/>
          <w:szCs w:val="24"/>
          <w:color w:val="auto"/>
        </w:rPr>
      </w:pPr>
    </w:p>
    <w:p>
      <w:pPr>
        <w:ind w:left="1260" w:right="499" w:firstLine="360"/>
        <w:spacing w:after="0" w:line="248" w:lineRule="auto"/>
        <w:rPr>
          <w:sz w:val="20"/>
          <w:szCs w:val="20"/>
          <w:color w:val="auto"/>
        </w:rPr>
      </w:pPr>
      <w:r>
        <w:rPr>
          <w:rFonts w:ascii="Times New Roman" w:cs="Times New Roman" w:eastAsia="Times New Roman" w:hAnsi="Times New Roman"/>
          <w:sz w:val="17"/>
          <w:szCs w:val="17"/>
          <w:color w:val="auto"/>
        </w:rPr>
        <w:t>Subject to the completion of the offering, we have agreed to repurchase 750,000 of the shares of common stock that are the subject of this offering from the underwriter at a price of $19.75 per share, which is the price at which the underwriter will purchase the shares from the selling stockholder in this offering. The underwriter will not receive any compensation for the shares of our common stock being repurchased by us. The repurchase will be made pursuant to our existing $50.0 million stock repurchase program announced during the fourth quarter of 2022. See “</w:t>
      </w:r>
      <w:r>
        <w:rPr>
          <w:rFonts w:ascii="Times New Roman" w:cs="Times New Roman" w:eastAsia="Times New Roman" w:hAnsi="Times New Roman"/>
          <w:sz w:val="17"/>
          <w:szCs w:val="17"/>
          <w:i w:val="1"/>
          <w:iCs w:val="1"/>
          <w:color w:val="auto"/>
        </w:rPr>
        <w:t>Concurrent Share Repurchase</w:t>
      </w:r>
      <w:r>
        <w:rPr>
          <w:rFonts w:ascii="Times New Roman" w:cs="Times New Roman" w:eastAsia="Times New Roman" w:hAnsi="Times New Roman"/>
          <w:sz w:val="17"/>
          <w:szCs w:val="17"/>
          <w:color w:val="auto"/>
        </w:rPr>
        <w:t>.”</w:t>
      </w:r>
    </w:p>
    <w:p>
      <w:pPr>
        <w:spacing w:after="0" w:line="71" w:lineRule="exact"/>
        <w:rPr>
          <w:sz w:val="24"/>
          <w:szCs w:val="24"/>
          <w:color w:val="auto"/>
        </w:rPr>
      </w:pPr>
    </w:p>
    <w:p>
      <w:pPr>
        <w:ind w:left="1260" w:right="619" w:firstLine="360"/>
        <w:spacing w:after="0" w:line="264" w:lineRule="auto"/>
        <w:rPr>
          <w:sz w:val="20"/>
          <w:szCs w:val="20"/>
          <w:color w:val="auto"/>
        </w:rPr>
      </w:pPr>
      <w:r>
        <w:rPr>
          <w:rFonts w:ascii="Times New Roman" w:cs="Times New Roman" w:eastAsia="Times New Roman" w:hAnsi="Times New Roman"/>
          <w:sz w:val="17"/>
          <w:szCs w:val="17"/>
          <w:color w:val="auto"/>
        </w:rPr>
        <w:t>We are an “emerging growth company” as defined in the Jumpstart Our Business Startups Act of 2012 and are eligible for reduced public company reporting requirements. 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p>
      <w:pPr>
        <w:spacing w:after="0" w:line="56" w:lineRule="exact"/>
        <w:rPr>
          <w:sz w:val="24"/>
          <w:szCs w:val="24"/>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7"/>
          <w:szCs w:val="17"/>
          <w:color w:val="auto"/>
        </w:rPr>
        <w:t>By participating in this offering, you are representing that you are a citizen of the United States, as defined in 49 U.S.C. § 40102(a)(15). See “</w:t>
      </w:r>
      <w:r>
        <w:rPr>
          <w:rFonts w:ascii="Times New Roman" w:cs="Times New Roman" w:eastAsia="Times New Roman" w:hAnsi="Times New Roman"/>
          <w:sz w:val="17"/>
          <w:szCs w:val="17"/>
          <w:i w:val="1"/>
          <w:iCs w:val="1"/>
          <w:color w:val="auto"/>
        </w:rPr>
        <w:t>Description of Capital Stock — Limited Ownership and Voting by Foreign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Owners</w:t>
      </w:r>
      <w:r>
        <w:rPr>
          <w:rFonts w:ascii="Times New Roman" w:cs="Times New Roman" w:eastAsia="Times New Roman" w:hAnsi="Times New Roman"/>
          <w:sz w:val="17"/>
          <w:szCs w:val="17"/>
          <w:color w:val="auto"/>
        </w:rPr>
        <w:t>” in the accompanying prospectus.</w:t>
      </w:r>
    </w:p>
    <w:p>
      <w:pPr>
        <w:spacing w:after="0" w:line="43" w:lineRule="exact"/>
        <w:rPr>
          <w:sz w:val="24"/>
          <w:szCs w:val="24"/>
          <w:color w:val="auto"/>
        </w:rPr>
      </w:pPr>
    </w:p>
    <w:p>
      <w:pPr>
        <w:ind w:left="1260" w:right="539" w:firstLine="360"/>
        <w:spacing w:after="0" w:line="321" w:lineRule="auto"/>
        <w:rPr>
          <w:sz w:val="20"/>
          <w:szCs w:val="20"/>
          <w:color w:val="auto"/>
        </w:rPr>
      </w:pPr>
      <w:r>
        <w:rPr>
          <w:rFonts w:ascii="Times New Roman" w:cs="Times New Roman" w:eastAsia="Times New Roman" w:hAnsi="Times New Roman"/>
          <w:sz w:val="16"/>
          <w:szCs w:val="16"/>
          <w:b w:val="1"/>
          <w:bCs w:val="1"/>
          <w:color w:val="auto"/>
        </w:rPr>
        <w:t>Investing in the common stock involves risks that are described in the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b w:val="1"/>
          <w:bCs w:val="1"/>
          <w:color w:val="auto"/>
        </w:rPr>
        <w:t xml:space="preserve">” section beginning on page </w:t>
      </w:r>
      <w:r>
        <w:rPr>
          <w:rFonts w:ascii="Times New Roman" w:cs="Times New Roman" w:eastAsia="Times New Roman" w:hAnsi="Times New Roman"/>
          <w:sz w:val="16"/>
          <w:szCs w:val="16"/>
          <w:b w:val="1"/>
          <w:bCs w:val="1"/>
          <w:u w:val="single" w:color="auto"/>
          <w:color w:val="0000EE"/>
        </w:rPr>
        <w:t>S-4</w:t>
      </w:r>
      <w:r>
        <w:rPr>
          <w:rFonts w:ascii="Times New Roman" w:cs="Times New Roman" w:eastAsia="Times New Roman" w:hAnsi="Times New Roman"/>
          <w:sz w:val="16"/>
          <w:szCs w:val="16"/>
          <w:b w:val="1"/>
          <w:bCs w:val="1"/>
          <w:color w:val="0000EE"/>
        </w:rPr>
        <w:t xml:space="preserve"> </w:t>
      </w:r>
      <w:r>
        <w:rPr>
          <w:rFonts w:ascii="Times New Roman" w:cs="Times New Roman" w:eastAsia="Times New Roman" w:hAnsi="Times New Roman"/>
          <w:sz w:val="16"/>
          <w:szCs w:val="16"/>
          <w:b w:val="1"/>
          <w:bCs w:val="1"/>
          <w:color w:val="000000"/>
        </w:rPr>
        <w:t>of this prospectus supplement and in the documents incorporated by reference in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65405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6" w:lineRule="exact"/>
        <w:rPr>
          <w:sz w:val="24"/>
          <w:szCs w:val="24"/>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7"/>
          <w:szCs w:val="17"/>
          <w:color w:val="auto"/>
        </w:rPr>
        <w:t>The underwriter has agreed to purchase the shares of common stock at a price of $19.75 per share, which will result in approximately $103,687,500 of net proceeds (before deducting expenses) to the selling stockholder (or approximately $119,240,625 if the underwriter’s option to purchase additional shares is exercised in full). The underwriter may offer the shares of common stock from time to time for sale directly or through agents, or through brokers in one or more brokerage transactions on Nasdaq, or to dealers in negotiated transactions or in a combination of such methods of sale, at a fixed price or prices, which may be changed, or at market prices prevailing at the time of sale, at prices related to prevailing market prices or at negotiated prices, subject to its right to reject any order in whole or in part. See “</w:t>
      </w:r>
      <w:r>
        <w:rPr>
          <w:rFonts w:ascii="Times New Roman" w:cs="Times New Roman" w:eastAsia="Times New Roman" w:hAnsi="Times New Roman"/>
          <w:sz w:val="17"/>
          <w:szCs w:val="17"/>
          <w:i w:val="1"/>
          <w:iCs w:val="1"/>
          <w:color w:val="auto"/>
        </w:rPr>
        <w:t>Underwriting (Conflict of Interest)</w:t>
      </w:r>
      <w:r>
        <w:rPr>
          <w:rFonts w:ascii="Times New Roman" w:cs="Times New Roman" w:eastAsia="Times New Roman" w:hAnsi="Times New Roman"/>
          <w:sz w:val="17"/>
          <w:szCs w:val="17"/>
          <w:color w:val="auto"/>
        </w:rPr>
        <w:t>”. The underwriter may exercise its option to purchase up to an additional 787,500 shares from the selling stockholder at the price set forth above for 30 days after the date of this prospectus supplement.</w:t>
      </w:r>
    </w:p>
    <w:p>
      <w:pPr>
        <w:spacing w:after="0" w:line="75" w:lineRule="exact"/>
        <w:rPr>
          <w:sz w:val="24"/>
          <w:szCs w:val="24"/>
          <w:color w:val="auto"/>
        </w:rPr>
      </w:pPr>
    </w:p>
    <w:p>
      <w:pPr>
        <w:ind w:left="1260" w:right="1279" w:firstLine="360"/>
        <w:spacing w:after="0" w:line="264" w:lineRule="auto"/>
        <w:rPr>
          <w:sz w:val="20"/>
          <w:szCs w:val="20"/>
          <w:color w:val="auto"/>
        </w:rPr>
      </w:pPr>
      <w:r>
        <w:rPr>
          <w:rFonts w:ascii="Times New Roman" w:cs="Times New Roman" w:eastAsia="Times New Roman" w:hAnsi="Times New Roman"/>
          <w:sz w:val="17"/>
          <w:szCs w:val="17"/>
          <w:color w:val="auto"/>
        </w:rPr>
        <w:t>References to “underwriter” in this prospectus supplement refer to each underwriter named in the “</w:t>
      </w:r>
      <w:r>
        <w:rPr>
          <w:rFonts w:ascii="Times New Roman" w:cs="Times New Roman" w:eastAsia="Times New Roman" w:hAnsi="Times New Roman"/>
          <w:sz w:val="17"/>
          <w:szCs w:val="17"/>
          <w:i w:val="1"/>
          <w:iCs w:val="1"/>
          <w:color w:val="auto"/>
        </w:rPr>
        <w:t>Underwriting (Conflict of Interest)</w:t>
      </w:r>
      <w:r>
        <w:rPr>
          <w:rFonts w:ascii="Times New Roman" w:cs="Times New Roman" w:eastAsia="Times New Roman" w:hAnsi="Times New Roman"/>
          <w:sz w:val="17"/>
          <w:szCs w:val="17"/>
          <w:color w:val="auto"/>
        </w:rPr>
        <w:t>” section of this prospectus supplement.</w:t>
      </w:r>
    </w:p>
    <w:p>
      <w:pPr>
        <w:spacing w:after="0" w:line="52" w:lineRule="exact"/>
        <w:rPr>
          <w:sz w:val="24"/>
          <w:szCs w:val="24"/>
          <w:color w:val="auto"/>
        </w:rPr>
      </w:pPr>
    </w:p>
    <w:p>
      <w:pPr>
        <w:ind w:left="1260" w:right="839" w:firstLine="360"/>
        <w:spacing w:after="0" w:line="259"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supplement or the accompanying prospectus are truthful or complete. Any representation to the contrary is a criminal offense.</w:t>
      </w:r>
    </w:p>
    <w:p>
      <w:pPr>
        <w:spacing w:after="0" w:line="46"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color w:val="auto"/>
        </w:rPr>
        <w:t>The shares will be ready for delivery on or about February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180975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9"/>
          <w:szCs w:val="29"/>
          <w:b w:val="1"/>
          <w:bCs w:val="1"/>
          <w:color w:val="auto"/>
        </w:rPr>
        <w:t>Barclays</w:t>
      </w:r>
    </w:p>
    <w:p>
      <w:pPr>
        <w:sectPr>
          <w:pgSz w:w="11900" w:h="16838" w:orient="portrait"/>
          <w:cols w:equalWidth="0" w:num="1">
            <w:col w:w="9879"/>
          </w:cols>
          <w:pgMar w:left="580" w:top="205" w:right="1440" w:bottom="1440" w:gutter="0" w:footer="0" w:header="0"/>
        </w:sectPr>
      </w:pPr>
    </w:p>
    <w:p>
      <w:pPr>
        <w:spacing w:after="0" w:line="219"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February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CERTAIN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MATERIAL U.S. FEDERAL INCOME TAX CONSIDERATIONS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UNDERWRITING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(CONFLICT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OVERVIEW</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S-iii</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S-iv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ectPr>
          <w:pgSz w:w="11900" w:h="16838" w:orient="portrait"/>
          <w:cols w:equalWidth="0" w:num="2">
            <w:col w:w="8220" w:space="720"/>
            <w:col w:w="93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48"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contains specific information about the selling stockholder and the terms on which the selling stockholder is offering and selling shares of our common stock. The second part is the accompanying prospectus, which gives more general information, some of which may not apply to this offering.</w:t>
      </w:r>
    </w:p>
    <w:p>
      <w:pPr>
        <w:spacing w:after="0" w:line="104"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w:t>
      </w:r>
    </w:p>
    <w:p>
      <w:pPr>
        <w:spacing w:after="0" w:line="117"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To understand the terms of the securities offered by this prospectus supplement, you should carefully read this prospectus supplement and the accompanying prospectus. You should also read the documents referred to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regarding us and the business conducted by us.</w:t>
      </w:r>
    </w:p>
    <w:p>
      <w:pPr>
        <w:spacing w:after="0" w:line="104"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Sun Country Airlines Holdings, Inc. a Delaware corporation, which is also referred to as “Sun Country,” “Sun Country Airlines,” “the Company,” “we,” “us,” and “our,” has filed with the U.S. Securities and Exchange Commission, or the SEC, using a “shelf” registration process. References to “Apollo” refer to Apollo Global Management, Inc. and its subsidiaries. References to the “Apollo Stockholder” refer to SCA Horus Holdings, LLC. References to “Apollo Funds” refer to certain investment funds managed by affiliates of Apollo.</w:t>
      </w:r>
    </w:p>
    <w:p>
      <w:pPr>
        <w:spacing w:after="0" w:line="280" w:lineRule="exact"/>
        <w:rPr>
          <w:sz w:val="20"/>
          <w:szCs w:val="20"/>
          <w:color w:val="auto"/>
        </w:rPr>
      </w:pPr>
    </w:p>
    <w:p>
      <w:pPr>
        <w:ind w:left="1260" w:right="519" w:firstLine="360"/>
        <w:spacing w:after="0" w:line="239" w:lineRule="auto"/>
        <w:rPr>
          <w:sz w:val="20"/>
          <w:szCs w:val="20"/>
          <w:color w:val="auto"/>
        </w:rPr>
      </w:pPr>
      <w:r>
        <w:rPr>
          <w:rFonts w:ascii="Times New Roman" w:cs="Times New Roman" w:eastAsia="Times New Roman" w:hAnsi="Times New Roman"/>
          <w:sz w:val="18"/>
          <w:szCs w:val="18"/>
          <w:b w:val="1"/>
          <w:bCs w:val="1"/>
          <w:color w:val="auto"/>
        </w:rPr>
        <w:t>THE SECURITIES OFFERED HEREBY HAVE NOT BEEN RECOMMENDED BY ANY UNITED STATES FEDERAL OR STATE SECURITIES COMMISSION OR REGULATORY AUTHORITY. FURTHERMORE, THE FOREGOING AUTHORITIES HAVE NOT CONFIRMED THE ACCURACY OR DETERMINED THE ADEQUACY OF THIS DOCUMENT. ANY REPRESENTATION TO THE CONTRARY IS A CRIMINAL OFFENSE.</w:t>
      </w:r>
    </w:p>
    <w:p>
      <w:pPr>
        <w:spacing w:after="0" w:line="107" w:lineRule="exact"/>
        <w:rPr>
          <w:sz w:val="20"/>
          <w:szCs w:val="20"/>
          <w:color w:val="auto"/>
        </w:rPr>
      </w:pPr>
    </w:p>
    <w:p>
      <w:pPr>
        <w:ind w:left="1260" w:right="519" w:firstLine="360"/>
        <w:spacing w:after="0"/>
        <w:rPr>
          <w:sz w:val="20"/>
          <w:szCs w:val="20"/>
          <w:color w:val="auto"/>
        </w:rPr>
      </w:pPr>
      <w:r>
        <w:rPr>
          <w:rFonts w:ascii="Times New Roman" w:cs="Times New Roman" w:eastAsia="Times New Roman" w:hAnsi="Times New Roman"/>
          <w:sz w:val="18"/>
          <w:szCs w:val="18"/>
          <w:color w:val="auto"/>
        </w:rPr>
        <w:t>Neither we, the selling stockholder or the underwriter have authorized anyone to provide you with information or to make any representations about anything not contained in this prospectus supplement, the accompanying prospectus or the documents incorporated by reference in this prospectus supplement. We can provide no assurance as to the reliability of any other information.</w:t>
      </w:r>
    </w:p>
    <w:p>
      <w:pPr>
        <w:spacing w:after="0" w:line="104" w:lineRule="exact"/>
        <w:rPr>
          <w:sz w:val="20"/>
          <w:szCs w:val="20"/>
          <w:color w:val="auto"/>
        </w:rPr>
      </w:pPr>
    </w:p>
    <w:p>
      <w:pPr>
        <w:ind w:left="1260" w:right="579" w:firstLine="360"/>
        <w:spacing w:after="0" w:line="238"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and sale of the common stock in certain jurisdictions may be restricted by law. We require persons into whose possession this prospectus supplement and the accompanying prospectus come to inform themselves about and to observe any such restrictions. This prospectus supplement and the accompanying prospectus do not constitute an offer of, or an invitation to purchase, any of the common stock in any jurisdiction in which such offer or invitation would be unlawful.</w:t>
      </w:r>
    </w:p>
    <w:p>
      <w:pPr>
        <w:spacing w:after="0" w:line="18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48" w:lineRule="exact"/>
        <w:rPr>
          <w:sz w:val="20"/>
          <w:szCs w:val="20"/>
          <w:color w:val="auto"/>
        </w:rPr>
      </w:pPr>
    </w:p>
    <w:p>
      <w:pPr>
        <w:ind w:left="1260" w:right="579" w:firstLine="360"/>
        <w:spacing w:after="0" w:line="235" w:lineRule="auto"/>
        <w:rPr>
          <w:sz w:val="20"/>
          <w:szCs w:val="20"/>
          <w:color w:val="auto"/>
        </w:rPr>
      </w:pPr>
      <w:r>
        <w:rPr>
          <w:rFonts w:ascii="Times New Roman" w:cs="Times New Roman" w:eastAsia="Times New Roman" w:hAnsi="Times New Roman"/>
          <w:sz w:val="18"/>
          <w:szCs w:val="18"/>
          <w:color w:val="auto"/>
        </w:rPr>
        <w:t>In this prospectus supplement, we “incorporate by reference” certain information that we file with the SEC, which means that we can disclose important information to you by referring you to that information. The information we incorporate by reference is an important part of this prospectus supplement and the accompanying prospectus, and later information that we file with the SEC will automatically update and supersede this information. The following documents have been filed by us with the SEC and are incorporated by reference into this prospectus supplement and the accompanying prospectus:</w:t>
      </w:r>
    </w:p>
    <w:p>
      <w:pPr>
        <w:spacing w:after="0" w:line="80" w:lineRule="exact"/>
        <w:rPr>
          <w:sz w:val="20"/>
          <w:szCs w:val="20"/>
          <w:color w:val="auto"/>
        </w:rPr>
      </w:pPr>
    </w:p>
    <w:p>
      <w:pPr>
        <w:ind w:left="1800" w:right="61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2022, filed with the SEC on February 15, 2023 (the “2022 Annual Report”);</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26">
        <w:r>
          <w:rPr>
            <w:rFonts w:ascii="Times New Roman" w:cs="Times New Roman" w:eastAsia="Times New Roman" w:hAnsi="Times New Roman"/>
            <w:sz w:val="18"/>
            <w:szCs w:val="18"/>
            <w:u w:val="single" w:color="auto"/>
            <w:color w:val="0000EE"/>
          </w:rPr>
          <w:t>January 23,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7">
        <w:r>
          <w:rPr>
            <w:rFonts w:ascii="Times New Roman" w:cs="Times New Roman" w:eastAsia="Times New Roman" w:hAnsi="Times New Roman"/>
            <w:sz w:val="18"/>
            <w:szCs w:val="18"/>
            <w:u w:val="single" w:color="auto"/>
            <w:color w:val="0000EE"/>
          </w:rPr>
          <w:t>February 6, 2023</w:t>
        </w:r>
      </w:hyperlink>
      <w:r>
        <w:rPr>
          <w:rFonts w:ascii="Times New Roman" w:cs="Times New Roman" w:eastAsia="Times New Roman" w:hAnsi="Times New Roman"/>
          <w:sz w:val="18"/>
          <w:szCs w:val="18"/>
          <w:color w:val="auto"/>
        </w:rPr>
        <w:t>; and</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63"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The description of our common stock set forth in our registration statement filed on Form 8-A</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pursuant to Section 12 of the Securities Exchange Act of 1934, as amended (the “Exchange Act”),</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with the SEC on March 15, 2021, and any amendment or report filed for the purpose of updating that</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description.</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389" w:lineRule="exact"/>
        <w:rPr>
          <w:rFonts w:ascii="Times New Roman" w:cs="Times New Roman" w:eastAsia="Times New Roman" w:hAnsi="Times New Roman"/>
          <w:sz w:val="18"/>
          <w:szCs w:val="18"/>
          <w:u w:val="single" w:color="auto"/>
          <w:color w:val="0000EE"/>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All documents and reports that we file with the SEC (other than any portion of such filings that are furnished under applicable SEC rules rather than filed) under Sections 13(a), 13(c), 14 or 15(d) of the Exchange Act from the date of this prospectus supplement until the completion of the offering under this prospectus supplement shall be deemed to be incorporated in this prospectus supplement and the accompanying prospectus by reference. The information contained on or accessible through our website at www.suncountry.com is not incorporated into this prospectus supplement or the accompanying prospectus.</w:t>
      </w:r>
    </w:p>
    <w:p>
      <w:pPr>
        <w:spacing w:after="0" w:line="120"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these filings unless we have specifically included or incorporated that exhibit by reference into the filing, from the SEC as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or, at no cost, by writing or telephoning Sun Country Airlines Holdings, Inc. at the following address:</w:t>
      </w:r>
    </w:p>
    <w:p>
      <w:pPr>
        <w:spacing w:after="0" w:line="11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2005 Cargo Road</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Minneapolis, MN 55450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(651) 681-3900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26"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supplement, the accompanying prospectus or any free writing prospectus that we authorize or any documents incorporated by reference is accurate as of any date other than the date of the applicable document.</w:t>
      </w:r>
    </w:p>
    <w:p>
      <w:pPr>
        <w:spacing w:after="0" w:line="108"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supplement or the accompanying prospectus will be deemed to be modified or superseded for purposes of this prospectus supplement to the extent that a statement contained in this prospectus supplement or any other subsequently filed document that is deemed to be incorporated by reference into this prospectus supplement or the accompanying prospectus modifies or supersedes the statement. Any statement so modified or superseded will not be deemed, except as so modified or superseded, to constitute a part of this prospectus supplement and the accompanying prospectus.</w:t>
      </w:r>
    </w:p>
    <w:p>
      <w:pPr>
        <w:spacing w:after="0" w:line="18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with respect to the shares of common stock being sold in this offering. This prospectus supplement and the accompanying prospectus constitute a part of that registration statement. This prospectus supplement and the accompanying prospectus do not contain all the information set forth in the registration statement and the exhibits and schedules to the registration statement, because some parts have been omitted in accordance with the rules and regulations of the SEC. For further information with respect to us and our shares of common stock being sold in this offering, you should refer to the registration statement and the exhibits and schedules filed as part of the registration statement. Statements contained in this prospectus supplement and the accompanying prospectus regarding the contents of any agreement, contract or other document referred to are not necessarily complete; reference is made in each instance to the copy of the contract or document filed as an exhibit to the registration statement. Each statement is qualified by reference to the exhibit. You may read and obtain a copy of the registration statement without charge at the SEC’s website. The SEC’s website address is www.sec.gov.</w:t>
      </w:r>
    </w:p>
    <w:p>
      <w:pPr>
        <w:spacing w:after="0" w:line="325" w:lineRule="exact"/>
        <w:rPr>
          <w:sz w:val="20"/>
          <w:szCs w:val="20"/>
          <w:color w:val="auto"/>
        </w:rPr>
      </w:pPr>
    </w:p>
    <w:p>
      <w:pPr>
        <w:ind w:left="1260" w:right="639" w:firstLine="360"/>
        <w:spacing w:after="0" w:line="255"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can read and obtain such filings from the SEC’s website at https://www.sec.gov. We also make available free of charge on our website at https://www.suncountry.com all materials that we file electronically with the SEC. Our website and the information contained therein or connected thereto shall not be deemed to be incorporated into this prospectus supplement, the accompanying prospectus or the registration statement of which this prospectus supplement forms a part, and you should not rely on any such information in making your decision whether to purchase our shares of common stock.</w:t>
      </w:r>
    </w:p>
    <w:p>
      <w:pPr>
        <w:spacing w:after="0" w:line="200" w:lineRule="exact"/>
        <w:rPr>
          <w:sz w:val="20"/>
          <w:szCs w:val="20"/>
          <w:color w:val="auto"/>
        </w:rPr>
      </w:pPr>
    </w:p>
    <w:p>
      <w:pPr>
        <w:spacing w:after="0" w:line="36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prospectus supplement and the accompanying prospectus, including statements regarding our strategy, future operations, future financial position, future revenue, projected costs, prospects, plans, objectives of management, and expected market growth are forward-looking statements.</w:t>
      </w:r>
    </w:p>
    <w:p>
      <w:pPr>
        <w:spacing w:after="0" w:line="32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69" w:lineRule="exact"/>
        <w:rPr>
          <w:sz w:val="20"/>
          <w:szCs w:val="20"/>
          <w:color w:val="auto"/>
        </w:rPr>
      </w:pPr>
    </w:p>
    <w:p>
      <w:pPr>
        <w:ind w:left="1800" w:right="4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virus and its effects, including variants, travel restrictions, social distancing measures and decreased demand for air travel;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including inflationary pressures;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aircraft fuel and our ability to control other costs;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terrorist attacks or security concerns, including the unauthorized use, incursion or breach of our information technology and other cybersecurity risks;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operate in an exceedingly competitive industry;</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beyond our control, including air traffic congestion, adverse weather, federal government shutdowns, aircraft-type groundings, increased security measures or outbreaks of disease;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or increased taxes applicable to charges for ancillary products and services;</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business in the Minneapolis-St. Paul market and the concentration of our cargo business with amazon.com Services, Inc. (together with its affiliates, “Amazon”);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presence in international markets;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 including regulation to reduce emissions of greenhouse gases;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our ability to attract and retain qualified personnel, including but not limited to, pilots and technicians, at a reasonable cost or maintain our company culture;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and third-party technology and systems;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insurance costs or reductions in insurance coverage; and</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included or incorporated by reference in this prospectus supplement and the accompanying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those included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2022 Annual Report.</w:t>
      </w:r>
    </w:p>
    <w:p>
      <w:pPr>
        <w:spacing w:after="0" w:line="10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These forward-looking statements reflect our views, estimates and assumptions with respect to future events as of the date of this prospectus supplement and the accompanying prospectus, as applicable, and are based on assumptions and subject to risks and uncertainties. Given these uncertainties, you should not place undue reliance on these forward- looking statements. Except as required by law, we undertake no obligation to update or review publicly any forward-looking statements, whether as a result of new information, future events or otherwise after the date of this prospectus supplement. We anticipate that subsequent events and developments will cause our views to change. You should read this prospectus supplement, the accompanying prospectus, the documents incorporated by reference herein and therein and the documents filed as exhibits to the registration statement, of which this prospectus supplement is a part, completely and with the understanding that our actual future results may be materially different from</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66" w:lineRule="auto"/>
        <w:rPr>
          <w:sz w:val="20"/>
          <w:szCs w:val="20"/>
          <w:color w:val="auto"/>
        </w:rPr>
      </w:pPr>
      <w:r>
        <w:rPr>
          <w:rFonts w:ascii="Times New Roman" w:cs="Times New Roman" w:eastAsia="Times New Roman" w:hAnsi="Times New Roman"/>
          <w:sz w:val="18"/>
          <w:szCs w:val="18"/>
          <w:color w:val="auto"/>
        </w:rPr>
        <w:t>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use various trademarks, trade names and service marks in our business, including “Sun Country,” “Sun Country Airlines,” “Sun Country Connections,” “Sun Country Rewards,” “Sun Country Vacations,” “The Hometown Airline” and “UFLY,” as well as our signature “S” logo. This prospectus supplement and the documents incorporated by reference herein reference to our trademarks, trade names and service marks. Solely for convenience, trademarks and trade names referred to and incorporated by reference in this prospectus supplement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19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include and incorporate by reference in this prospectus supplement statements regarding our industry, our competitors and factors that have impacted our and our customers’ industries. Such statements are statements of belief and are based on industry data and forecasts that we have obtained from industry publications and surveys, including those published by the United States Department of Transportation, as well as internal company sources. Industry publications, surveys and forecasts generally state that the information contained therein has been obtained from sources believed to be reliable, but there can be no assurance as to the accuracy or completeness of such information. In addition, while we believe that the industry information included and incorporated by reference herein is generally reliable, such information is inherently imprecise. Certain statements regarding our competitors are based on publicly available information, including filings with the Securities and Exchange Commission and United States Department of Transportation by such competitors, published industry sources and management estimates. While we are not aware of any misstatements regarding the industry, competitor and market data presented and incorporated by reference herein, our estimates involve risks and uncertainties and are subject to change based on various factors, including those discussed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and in the documents incorporated by reference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3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highlights certain information about us and about this offering that is contained elsewhere in this prospectus supplement, the accompanying prospectus or the documents that are incorporated by reference herein. It does not contain all of the information that is important to you and your investment decision. Before you make an investment decision, you should review this entire prospectus supplement, the accompanying prospectus and the documents incorporated by reference herein and therein, including the sections entitled “Risk Factors” in this prospectus supplement, the accompanying prospectus and in the 2022 Annual Report. Some of the statements in the following summary constitute forward-looking statements. See “Cautionary Note Regarding Forward-Looking Statements.”</w:t>
      </w:r>
    </w:p>
    <w:p>
      <w:pPr>
        <w:spacing w:after="0" w:line="183"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Based in Minnesota, we focus on serving leisure and visiting friends and relatives passengers, charter customers, and providing crew, maintenance and insurance service to Amazon, with flights throughout the United States and to destinations in Canada, Mexico, Central America and the Caribbean.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06" w:lineRule="exact"/>
        <w:rPr>
          <w:sz w:val="20"/>
          <w:szCs w:val="20"/>
          <w:color w:val="auto"/>
        </w:rPr>
      </w:pPr>
    </w:p>
    <w:p>
      <w:pPr>
        <w:ind w:left="1280" w:right="419" w:firstLine="360"/>
        <w:spacing w:after="0" w:line="261" w:lineRule="auto"/>
        <w:rPr>
          <w:sz w:val="20"/>
          <w:szCs w:val="20"/>
          <w:color w:val="auto"/>
        </w:rPr>
      </w:pPr>
      <w:r>
        <w:rPr>
          <w:rFonts w:ascii="Times New Roman" w:cs="Times New Roman" w:eastAsia="Times New Roman" w:hAnsi="Times New Roman"/>
          <w:sz w:val="18"/>
          <w:szCs w:val="18"/>
          <w:color w:val="auto"/>
        </w:rPr>
        <w:t>As of December 31, 2022, we operated a fleet of 54 Boeing 737-NG aircraft. This includes 42 aircraft in the passenger fleet and 12 cargo operated aircraft through the Air Transportation Services Agreement (the “ATSA”) with Amazon. This fleet is managed through our two reportable segments: Passenger, which includes both Scheduled Service and Charter, and Cargo.</w:t>
      </w:r>
    </w:p>
    <w:p>
      <w:pPr>
        <w:spacing w:after="0" w:line="17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62"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the resale of 5,250,000 shares of our common stock by the selling stockholder (or 6,037,500 shares if the underwriter’s option to purchase additional shares is exercised in full). The shares to be sold by the selling stockholder in this offering represent approximately 9.2% of our outstanding shares of common stock prior to giving effect to this offering (or approximately 10.5% if the underwriter’s option to purchase additional shares is exercised in full). After this offering, the selling stockholder will beneficially own an aggregate of 19,619,997 shares of common stock (or 18,832,497 shares if the underwriter’s option to purchase additional shares is exercised in full), which represents approximately 34.7% of our outstanding shares of common stock after giving effect to this offering (or approximately 33.3% if the underwriter’s option to purchase additional shares is exercised in full).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9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By participating in this offering, you are representing that you are a citizen of the United States, as</w:t>
      </w:r>
    </w:p>
    <w:p>
      <w:pPr>
        <w:spacing w:after="0" w:line="27" w:lineRule="exact"/>
        <w:rPr>
          <w:sz w:val="20"/>
          <w:szCs w:val="20"/>
          <w:color w:val="auto"/>
        </w:rPr>
      </w:pPr>
    </w:p>
    <w:p>
      <w:pPr>
        <w:ind w:left="1280" w:right="439"/>
        <w:spacing w:after="0" w:line="276" w:lineRule="auto"/>
        <w:rPr>
          <w:sz w:val="20"/>
          <w:szCs w:val="20"/>
          <w:color w:val="auto"/>
        </w:rPr>
      </w:pPr>
      <w:r>
        <w:rPr>
          <w:rFonts w:ascii="Times New Roman" w:cs="Times New Roman" w:eastAsia="Times New Roman" w:hAnsi="Times New Roman"/>
          <w:sz w:val="18"/>
          <w:szCs w:val="18"/>
          <w:color w:val="auto"/>
        </w:rPr>
        <w:t>defined in 49 U.S.C. § 40102(a)(15). See “</w:t>
      </w:r>
      <w:r>
        <w:rPr>
          <w:rFonts w:ascii="Times New Roman" w:cs="Times New Roman" w:eastAsia="Times New Roman" w:hAnsi="Times New Roman"/>
          <w:sz w:val="18"/>
          <w:szCs w:val="18"/>
          <w:i w:val="1"/>
          <w:iCs w:val="1"/>
          <w:color w:val="auto"/>
        </w:rPr>
        <w:t>Description of Capital Stock — Limited Ownership and Voting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Owners</w:t>
      </w:r>
      <w:r>
        <w:rPr>
          <w:rFonts w:ascii="Times New Roman" w:cs="Times New Roman" w:eastAsia="Times New Roman" w:hAnsi="Times New Roman"/>
          <w:sz w:val="18"/>
          <w:szCs w:val="18"/>
          <w:color w:val="auto"/>
        </w:rPr>
        <w:t>” in the accompanying prospectus.</w:t>
      </w:r>
    </w:p>
    <w:p>
      <w:pPr>
        <w:sectPr>
          <w:pgSz w:w="11900" w:h="16838" w:orient="portrait"/>
          <w:cols w:equalWidth="0" w:num="1">
            <w:col w:w="9879"/>
          </w:cols>
          <w:pgMar w:left="580" w:top="97" w:right="1440" w:bottom="1440" w:gutter="0" w:footer="0" w:header="0"/>
        </w:sectPr>
      </w:pPr>
    </w:p>
    <w:p>
      <w:pPr>
        <w:spacing w:after="0" w:line="73" w:lineRule="exact"/>
        <w:rPr>
          <w:sz w:val="20"/>
          <w:szCs w:val="20"/>
          <w:color w:val="auto"/>
        </w:rPr>
      </w:pPr>
    </w:p>
    <w:p>
      <w:pPr>
        <w:ind w:left="1460" w:right="160" w:hanging="179"/>
        <w:spacing w:after="0" w:line="274" w:lineRule="auto"/>
        <w:rPr>
          <w:sz w:val="20"/>
          <w:szCs w:val="20"/>
          <w:color w:val="auto"/>
        </w:rPr>
      </w:pPr>
      <w:r>
        <w:rPr>
          <w:rFonts w:ascii="Times New Roman" w:cs="Times New Roman" w:eastAsia="Times New Roman" w:hAnsi="Times New Roman"/>
          <w:sz w:val="18"/>
          <w:szCs w:val="18"/>
          <w:color w:val="auto"/>
        </w:rPr>
        <w:t>Shares of common stock offered for resale by the selling stockholder in this offering</w:t>
      </w:r>
    </w:p>
    <w:p>
      <w:pPr>
        <w:spacing w:after="0" w:line="200" w:lineRule="exact"/>
        <w:rPr>
          <w:sz w:val="20"/>
          <w:szCs w:val="20"/>
          <w:color w:val="auto"/>
        </w:rPr>
      </w:pPr>
    </w:p>
    <w:p>
      <w:pPr>
        <w:spacing w:after="0" w:line="306" w:lineRule="exact"/>
        <w:rPr>
          <w:sz w:val="20"/>
          <w:szCs w:val="20"/>
          <w:color w:val="auto"/>
        </w:rPr>
      </w:pPr>
    </w:p>
    <w:p>
      <w:pPr>
        <w:ind w:left="1460" w:right="60" w:hanging="179"/>
        <w:spacing w:after="0" w:line="274" w:lineRule="auto"/>
        <w:rPr>
          <w:sz w:val="20"/>
          <w:szCs w:val="20"/>
          <w:color w:val="auto"/>
        </w:rPr>
      </w:pPr>
      <w:r>
        <w:rPr>
          <w:rFonts w:ascii="Times New Roman" w:cs="Times New Roman" w:eastAsia="Times New Roman" w:hAnsi="Times New Roman"/>
          <w:sz w:val="18"/>
          <w:szCs w:val="18"/>
          <w:color w:val="auto"/>
        </w:rPr>
        <w:t>Shares of common stock to be outstanding upon completion of this offering</w:t>
      </w:r>
    </w:p>
    <w:p>
      <w:pPr>
        <w:spacing w:after="0" w:line="200" w:lineRule="exact"/>
        <w:rPr>
          <w:sz w:val="20"/>
          <w:szCs w:val="20"/>
          <w:color w:val="auto"/>
        </w:rPr>
      </w:pPr>
    </w:p>
    <w:p>
      <w:pPr>
        <w:spacing w:after="0" w:line="320"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Option to purchase 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Concurrent Share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ind w:right="739"/>
        <w:spacing w:after="0" w:line="266" w:lineRule="auto"/>
        <w:rPr>
          <w:sz w:val="20"/>
          <w:szCs w:val="20"/>
          <w:color w:val="auto"/>
        </w:rPr>
      </w:pPr>
      <w:r>
        <w:rPr>
          <w:rFonts w:ascii="Times New Roman" w:cs="Times New Roman" w:eastAsia="Times New Roman" w:hAnsi="Times New Roman"/>
          <w:sz w:val="18"/>
          <w:szCs w:val="18"/>
          <w:color w:val="auto"/>
        </w:rPr>
        <w:t>5,250,000 shares (or 6,037,500 shares if the underwriter exercises its option to purchase additional shares in full as described below).</w:t>
      </w:r>
    </w:p>
    <w:p>
      <w:pPr>
        <w:spacing w:after="0" w:line="200" w:lineRule="exact"/>
        <w:rPr>
          <w:sz w:val="20"/>
          <w:szCs w:val="20"/>
          <w:color w:val="auto"/>
        </w:rPr>
      </w:pPr>
    </w:p>
    <w:p>
      <w:pPr>
        <w:spacing w:after="0" w:line="327" w:lineRule="exact"/>
        <w:rPr>
          <w:sz w:val="20"/>
          <w:szCs w:val="20"/>
          <w:color w:val="auto"/>
        </w:rPr>
      </w:pPr>
    </w:p>
    <w:p>
      <w:pPr>
        <w:ind w:right="519"/>
        <w:spacing w:after="0" w:line="258" w:lineRule="auto"/>
        <w:rPr>
          <w:sz w:val="20"/>
          <w:szCs w:val="20"/>
          <w:color w:val="auto"/>
        </w:rPr>
      </w:pPr>
      <w:r>
        <w:rPr>
          <w:rFonts w:ascii="Times New Roman" w:cs="Times New Roman" w:eastAsia="Times New Roman" w:hAnsi="Times New Roman"/>
          <w:sz w:val="18"/>
          <w:szCs w:val="18"/>
          <w:color w:val="auto"/>
        </w:rPr>
        <w:t>56,575,238 shares (after giving effect to the repurchase by us of 750,000 shares of common stock from the underwriter in the Concurrent Share Repurchase (as defined below)).</w:t>
      </w:r>
      <w:r>
        <w:rPr>
          <w:rFonts w:ascii="Times New Roman" w:cs="Times New Roman" w:eastAsia="Times New Roman" w:hAnsi="Times New Roman"/>
          <w:sz w:val="26"/>
          <w:szCs w:val="26"/>
          <w:color w:val="auto"/>
          <w:vertAlign w:val="superscript"/>
        </w:rPr>
        <w:t>(1)</w:t>
      </w:r>
    </w:p>
    <w:p>
      <w:pPr>
        <w:spacing w:after="0" w:line="219" w:lineRule="exact"/>
        <w:rPr>
          <w:sz w:val="20"/>
          <w:szCs w:val="20"/>
          <w:color w:val="auto"/>
        </w:rPr>
      </w:pPr>
    </w:p>
    <w:p>
      <w:pPr>
        <w:ind w:right="479"/>
        <w:spacing w:after="0" w:line="258" w:lineRule="auto"/>
        <w:rPr>
          <w:sz w:val="20"/>
          <w:szCs w:val="20"/>
          <w:color w:val="auto"/>
        </w:rPr>
      </w:pPr>
      <w:r>
        <w:rPr>
          <w:rFonts w:ascii="Times New Roman" w:cs="Times New Roman" w:eastAsia="Times New Roman" w:hAnsi="Times New Roman"/>
          <w:sz w:val="18"/>
          <w:szCs w:val="18"/>
          <w:color w:val="auto"/>
        </w:rPr>
        <w:t>The selling stockholder has granted the underwriter an option to purchase up to 787,500 additional shares of common stock. The underwriter may exercise this option at any time within 30 days from the date of this prospectus supplement. See “</w:t>
      </w:r>
      <w:r>
        <w:rPr>
          <w:rFonts w:ascii="Times New Roman" w:cs="Times New Roman" w:eastAsia="Times New Roman" w:hAnsi="Times New Roman"/>
          <w:sz w:val="18"/>
          <w:szCs w:val="18"/>
          <w:i w:val="1"/>
          <w:iCs w:val="1"/>
          <w:color w:val="auto"/>
        </w:rPr>
        <w:t>Underwriting (Conflict of Interest)</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completion of the offering, we have agreed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750,000 of the shares of common stock that 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of this offering from the underwriter at a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$19.75 per share, which is the price at which the underwriter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purchase the shares from the selling stockholder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(the “Concurrent Share Repurchase”). The terms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of the Concurrent Share Repurchase were reviewed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approved by the audit committee of our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Concurrent Share Repurchase will be funded from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cash on hand. The underwriter will not receive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for the shares of our common stock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by us. The Concurrent Share Repurchase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pursuant to our existing $50.0 million stock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announced during the fourth quarter of 2022.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right="399"/>
        <w:spacing w:after="0" w:line="253" w:lineRule="auto"/>
        <w:rPr>
          <w:sz w:val="20"/>
          <w:szCs w:val="20"/>
          <w:color w:val="auto"/>
        </w:rPr>
      </w:pPr>
      <w:r>
        <w:rPr>
          <w:rFonts w:ascii="Times New Roman" w:cs="Times New Roman" w:eastAsia="Times New Roman" w:hAnsi="Times New Roman"/>
          <w:sz w:val="18"/>
          <w:szCs w:val="18"/>
          <w:color w:val="auto"/>
        </w:rPr>
        <w:t>We have not to date paid any cash dividends on our common stock and 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deployment of cash for share repurchases, restrictions imposed by applicable law, our overall financial condition, restrictions in our debt agreements, and any other factors deemed relevant by our board of directors.</w:t>
      </w:r>
    </w:p>
    <w:p>
      <w:pPr>
        <w:spacing w:after="0" w:line="340" w:lineRule="exact"/>
        <w:rPr>
          <w:sz w:val="20"/>
          <w:szCs w:val="20"/>
          <w:color w:val="auto"/>
        </w:rPr>
      </w:pPr>
    </w:p>
    <w:p>
      <w:pPr>
        <w:ind w:right="599"/>
        <w:spacing w:after="0" w:line="271" w:lineRule="auto"/>
        <w:rPr>
          <w:sz w:val="20"/>
          <w:szCs w:val="20"/>
          <w:color w:val="auto"/>
        </w:rPr>
      </w:pPr>
      <w:r>
        <w:rPr>
          <w:rFonts w:ascii="Times New Roman" w:cs="Times New Roman" w:eastAsia="Times New Roman" w:hAnsi="Times New Roman"/>
          <w:sz w:val="18"/>
          <w:szCs w:val="18"/>
          <w:color w:val="auto"/>
        </w:rPr>
        <w:t>As a holding company, our ability to pay dividends also depends on our receipt of cash dividends from our operating subsidiaries. Our ability to pay dividends will therefore be restricted as a result of restrictions on their ability to pay</w:t>
      </w:r>
    </w:p>
    <w:p>
      <w:pPr>
        <w:spacing w:after="0" w:line="200" w:lineRule="exact"/>
        <w:rPr>
          <w:sz w:val="20"/>
          <w:szCs w:val="20"/>
          <w:color w:val="auto"/>
        </w:rPr>
      </w:pPr>
    </w:p>
    <w:p>
      <w:pPr>
        <w:sectPr>
          <w:pgSz w:w="11900" w:h="16838" w:orient="portrait"/>
          <w:cols w:equalWidth="0" w:num="2">
            <w:col w:w="4240" w:space="500"/>
            <w:col w:w="5139"/>
          </w:cols>
          <w:pgMar w:left="580" w:top="97" w:right="1440" w:bottom="1440" w:gutter="0" w:footer="0" w:header="0"/>
          <w:type w:val="continuous"/>
        </w:sectPr>
      </w:pPr>
    </w:p>
    <w:p>
      <w:pPr>
        <w:spacing w:after="0" w:line="17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dividends to us under our subsidiaries’ credit agreement and</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may be restricted under future indebtedness that we or they</w:t>
            </w:r>
          </w:p>
        </w:tc>
      </w:tr>
      <w:tr>
        <w:trPr>
          <w:trHeight w:val="234"/>
        </w:trPr>
        <w:tc>
          <w:tcPr>
            <w:tcW w:w="2440" w:type="dxa"/>
            <w:vAlign w:val="bottom"/>
          </w:tcPr>
          <w:p>
            <w:pPr>
              <w:spacing w:after="0"/>
              <w:rPr>
                <w:sz w:val="20"/>
                <w:szCs w:val="20"/>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may incur.</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All of the shares of common stock offered hereby are being</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sold by the selling stockholder identified in this prospectus</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supplement. We will not receive any proceeds from the sale of</w:t>
            </w:r>
          </w:p>
        </w:tc>
      </w:tr>
      <w:tr>
        <w:trPr>
          <w:trHeight w:val="214"/>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the shares of common stock offered pursuant to this</w:t>
            </w:r>
          </w:p>
        </w:tc>
      </w:tr>
      <w:tr>
        <w:trPr>
          <w:trHeight w:val="236"/>
        </w:trPr>
        <w:tc>
          <w:tcPr>
            <w:tcW w:w="2440" w:type="dxa"/>
            <w:vAlign w:val="bottom"/>
          </w:tcPr>
          <w:p>
            <w:pPr>
              <w:spacing w:after="0"/>
              <w:rPr>
                <w:sz w:val="20"/>
                <w:szCs w:val="20"/>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prospectus supplement.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Listing</w:t>
            </w: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Our common stock is listed on Nasdaq under the symbol</w:t>
            </w:r>
          </w:p>
        </w:tc>
      </w:tr>
      <w:tr>
        <w:trPr>
          <w:trHeight w:val="234"/>
        </w:trPr>
        <w:tc>
          <w:tcPr>
            <w:tcW w:w="2440" w:type="dxa"/>
            <w:vAlign w:val="bottom"/>
          </w:tcPr>
          <w:p>
            <w:pPr>
              <w:spacing w:after="0"/>
              <w:rPr>
                <w:sz w:val="20"/>
                <w:szCs w:val="20"/>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“SNCY.”</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You should read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w:t>
            </w:r>
          </w:p>
        </w:tc>
      </w:tr>
      <w:tr>
        <w:trPr>
          <w:trHeight w:val="194"/>
        </w:trPr>
        <w:tc>
          <w:tcPr>
            <w:tcW w:w="2440" w:type="dxa"/>
            <w:vAlign w:val="bottom"/>
          </w:tcPr>
          <w:p>
            <w:pPr>
              <w:spacing w:after="0"/>
              <w:rPr>
                <w:sz w:val="16"/>
                <w:szCs w:val="16"/>
                <w:color w:val="auto"/>
              </w:rPr>
            </w:pPr>
          </w:p>
        </w:tc>
        <w:tc>
          <w:tcPr>
            <w:tcW w:w="5740" w:type="dxa"/>
            <w:vAlign w:val="bottom"/>
            <w:gridSpan w:val="3"/>
          </w:tcPr>
          <w:p>
            <w:pPr>
              <w:ind w:left="1020"/>
              <w:spacing w:after="0" w:line="194" w:lineRule="exact"/>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EE"/>
              </w:rPr>
              <w:t>S-4</w:t>
            </w:r>
            <w:r>
              <w:rPr>
                <w:rFonts w:ascii="Times New Roman" w:cs="Times New Roman" w:eastAsia="Times New Roman" w:hAnsi="Times New Roman"/>
                <w:sz w:val="18"/>
                <w:szCs w:val="18"/>
                <w:color w:val="auto"/>
              </w:rPr>
              <w:t xml:space="preserve"> of, and the other information included and</w:t>
            </w:r>
          </w:p>
        </w:tc>
      </w:tr>
      <w:tr>
        <w:trPr>
          <w:trHeight w:val="20"/>
        </w:trPr>
        <w:tc>
          <w:tcPr>
            <w:tcW w:w="2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18"/>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incorporated by reference in, this prospectus supplement, as</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well as the other risk factors included in the accompanying</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prospectus and incorporated by reference in this prospectus</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supplement, for a discussion of some of the risks and</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uncertainties you should carefully consider before deciding to</w:t>
            </w:r>
          </w:p>
        </w:tc>
      </w:tr>
      <w:tr>
        <w:trPr>
          <w:trHeight w:val="234"/>
        </w:trPr>
        <w:tc>
          <w:tcPr>
            <w:tcW w:w="2440" w:type="dxa"/>
            <w:vAlign w:val="bottom"/>
          </w:tcPr>
          <w:p>
            <w:pPr>
              <w:spacing w:after="0"/>
              <w:rPr>
                <w:sz w:val="20"/>
                <w:szCs w:val="20"/>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invest in our common stock.</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Conflict of Interest</w:t>
            </w: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Apollo Global Securities, LLC (“AGS”) has a “conflict of</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interest” within the meaning of FINRA Rule 5121 in any</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offering of our securities in which it participates because AGS</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is affiliated with the selling stockholder, who is in turn our</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affiliate, and because the net proceeds received from the sale</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of the securities will be received by the selling stockholder.</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The offer and sale of the securities by AGS will comply with</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the requirements of FINRA Rule 5121 regarding a FINRA</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member firm’s participation in a public offering of securities</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of an affiliate. In accordance with FINRA Rule 5121, neither</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AGS nor any other affiliated underwriter, agent or dealer of</w:t>
            </w:r>
          </w:p>
        </w:tc>
      </w:tr>
      <w:tr>
        <w:trPr>
          <w:trHeight w:val="216"/>
        </w:trPr>
        <w:tc>
          <w:tcPr>
            <w:tcW w:w="2440" w:type="dxa"/>
            <w:vAlign w:val="bottom"/>
          </w:tcPr>
          <w:p>
            <w:pPr>
              <w:spacing w:after="0"/>
              <w:rPr>
                <w:sz w:val="18"/>
                <w:szCs w:val="18"/>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may sell the securities to any of its discretionary accounts</w:t>
            </w:r>
          </w:p>
        </w:tc>
      </w:tr>
      <w:tr>
        <w:trPr>
          <w:trHeight w:val="234"/>
        </w:trPr>
        <w:tc>
          <w:tcPr>
            <w:tcW w:w="2440" w:type="dxa"/>
            <w:vAlign w:val="bottom"/>
          </w:tcPr>
          <w:p>
            <w:pPr>
              <w:spacing w:after="0"/>
              <w:rPr>
                <w:sz w:val="20"/>
                <w:szCs w:val="20"/>
                <w:color w:val="auto"/>
              </w:rPr>
            </w:pPr>
          </w:p>
        </w:tc>
        <w:tc>
          <w:tcPr>
            <w:tcW w:w="57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without the specific written approval of the customer.</w:t>
            </w:r>
          </w:p>
        </w:tc>
      </w:tr>
    </w:tbl>
    <w:p>
      <w:pPr>
        <w:spacing w:after="0" w:line="333" w:lineRule="exact"/>
        <w:rPr>
          <w:sz w:val="20"/>
          <w:szCs w:val="20"/>
          <w:color w:val="auto"/>
        </w:rPr>
      </w:pPr>
    </w:p>
    <w:p>
      <w:pPr>
        <w:ind w:left="1640" w:right="619" w:hanging="362"/>
        <w:spacing w:after="0" w:line="282" w:lineRule="auto"/>
        <w:tabs>
          <w:tab w:leader="none" w:pos="1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all information in this prospectus supplement regarding the number of shares of our common stock to be outstanding immediately after this offering:</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57,325,238 shares of our common stock outstanding as of December 31, 2022;</w:t>
      </w:r>
    </w:p>
    <w:p>
      <w:pPr>
        <w:spacing w:after="0" w:line="117" w:lineRule="exact"/>
        <w:rPr>
          <w:rFonts w:ascii="Times New Roman" w:cs="Times New Roman" w:eastAsia="Times New Roman" w:hAnsi="Times New Roman"/>
          <w:sz w:val="18"/>
          <w:szCs w:val="18"/>
          <w:color w:val="auto"/>
        </w:rPr>
      </w:pPr>
    </w:p>
    <w:p>
      <w:pPr>
        <w:ind w:left="1820" w:right="439" w:hanging="182"/>
        <w:spacing w:after="0" w:line="261" w:lineRule="auto"/>
        <w:tabs>
          <w:tab w:leader="none" w:pos="18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4,535,055 shares of our common stock reserved as of December 31, 2022 for issuance upon exercise of outstanding stock options, 230,191 shares of our common stock reserved for issuance upon vesting of outstanding restricted stock units and 3,276,169 shares of our common stock reserved as of December 31, 2022 for issuance under our 2021 equity incentive plan;</w:t>
      </w:r>
    </w:p>
    <w:p>
      <w:pPr>
        <w:spacing w:after="0" w:line="71" w:lineRule="exact"/>
        <w:rPr>
          <w:rFonts w:ascii="Times New Roman" w:cs="Times New Roman" w:eastAsia="Times New Roman" w:hAnsi="Times New Roman"/>
          <w:sz w:val="18"/>
          <w:szCs w:val="18"/>
          <w:color w:val="auto"/>
        </w:rPr>
      </w:pPr>
    </w:p>
    <w:p>
      <w:pPr>
        <w:ind w:left="1820" w:right="559" w:hanging="182"/>
        <w:spacing w:after="0" w:line="282" w:lineRule="auto"/>
        <w:tabs>
          <w:tab w:leader="none" w:pos="18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warrants to purchase an aggregate of 9,482,606 shares of common stock issued to Amazon, approximately 25% of which have vested as of December 31, 2022; and</w:t>
      </w:r>
    </w:p>
    <w:p>
      <w:pPr>
        <w:spacing w:after="0" w:line="53" w:lineRule="exact"/>
        <w:rPr>
          <w:rFonts w:ascii="Times New Roman" w:cs="Times New Roman" w:eastAsia="Times New Roman" w:hAnsi="Times New Roman"/>
          <w:sz w:val="18"/>
          <w:szCs w:val="18"/>
          <w:color w:val="auto"/>
        </w:rPr>
      </w:pPr>
    </w:p>
    <w:p>
      <w:pPr>
        <w:ind w:left="1820" w:right="579" w:hanging="182"/>
        <w:spacing w:after="0" w:line="282" w:lineRule="auto"/>
        <w:tabs>
          <w:tab w:leader="none" w:pos="18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repurchase by us of 750,000 shares of common stock from the underwriter in the Concurrent Share Repurchase.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you invest in our common stock, in addition to the other information contained in this prospectus supplement and the accompanying prospectus, you should carefully consider the discussion of risks under the heading “Item 1A. Risk Factors” in the 2022 Annual Report and the other risks and uncertainties identified in the Company’s reports filed with the SEC that are incorporated or deemed incorporated by reference into this prospectus supplement and the accompanying prospectus. Please see the section of this prospectus supplement entitled “Incorporation by Reference.” The occurrence of one or more of those risk factors could adversely impact our business, financial condition or results of operations. In such a case, you may lose all or part of your original investment. These risks are not the only risks that we face. Our business, financial condition and results of operations could also be affected by additional factors that are not presently known to us or that we currently do not consider to be material. In addition, you should carefully consider the risk factors set forth below.</w:t>
      </w:r>
    </w:p>
    <w:p>
      <w:pPr>
        <w:spacing w:after="0" w:line="39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fluctuate significantly and purchasers of our common stock could incur substantial losses.</w:t>
      </w:r>
    </w:p>
    <w:p>
      <w:pPr>
        <w:spacing w:after="0" w:line="173"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market price of our common stock could vary significantly as a result of a number of factors, some of which are beyond our control. In the event of a drop in the market price of our common stock, you could lose a substantial part or all of your investment in our common stock. The following factors could affect our stock price:</w:t>
      </w:r>
    </w:p>
    <w:p>
      <w:pPr>
        <w:spacing w:after="0" w:line="69" w:lineRule="exact"/>
        <w:rPr>
          <w:sz w:val="20"/>
          <w:szCs w:val="20"/>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the rate of growth (if any) of our financial or operational indicators, such as earnings per share, net income, revenues, Adjusted Net Income (Loss), Adjusted EBITDA and Adjusted CASM (each, as defined in the 2022 Annual Report);</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reaction to our press releases, our other public announcements and our filings with the SEC;</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our competitors;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the stock market valuations of other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litigation;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revenue or earnings estimates made by research analysts or other investors;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or earnings estimates, or changes in recommendations or withdrawal of research</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by equity research analysts;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or the perception that such sales may occur;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guidance, interpretations, or standards;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our stockholders;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virus and its variants and their effects;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legal and regulatory factors unrelated to our performance;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weakness in our internal control over financial reporting; and</w:t>
      </w:r>
    </w:p>
    <w:p>
      <w:pPr>
        <w:spacing w:after="0" w:line="101" w:lineRule="exact"/>
        <w:rPr>
          <w:rFonts w:ascii="Times New Roman" w:cs="Times New Roman" w:eastAsia="Times New Roman" w:hAnsi="Times New Roman"/>
          <w:sz w:val="18"/>
          <w:szCs w:val="18"/>
          <w:color w:val="auto"/>
        </w:rPr>
      </w:pPr>
    </w:p>
    <w:p>
      <w:pPr>
        <w:ind w:left="1800" w:right="939" w:hanging="180"/>
        <w:spacing w:after="0" w:line="284"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risks described under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or other risks that may materialize in the future.</w:t>
      </w:r>
    </w:p>
    <w:p>
      <w:pPr>
        <w:spacing w:after="0" w:line="93"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stock markets in general have experienced extreme volatility that has often been unrelated to the operating performance of particular companies. These broad market fluctuations may adversely affect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187" w:lineRule="exact"/>
        <w:rPr>
          <w:sz w:val="20"/>
          <w:szCs w:val="20"/>
          <w:color w:val="auto"/>
        </w:rPr>
      </w:pPr>
    </w:p>
    <w:p>
      <w:pPr>
        <w:ind w:left="1260" w:right="8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are able to take advantage of reduced disclosure requirements applicable to “emerging growth companies,” which could make our common stock less attractive to investors.</w:t>
      </w:r>
    </w:p>
    <w:p>
      <w:pPr>
        <w:spacing w:after="0" w:line="67"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for as long as we continue to be an “emerging growth company,” we intend to take advantage of certain exemptions from various reporting requirements applicable to other public companies but not to “emerging growth companies.” These exemptions include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the earliest of (i) the last day of the first fiscal year in which our annual gross revenues exceed $1.235 billion, (ii) the last day of our fiscal year ending December 31, 2026, (iii) the date that we become a “large accelerated filer” as defined in Rule 12b-2 under the Exchange Act, which would occur at the end of our most recently completed fiscal year if the market value of our common stock that is held by non-affiliates exceeds $700 million as of the last business day of our most recently completed second fiscal quarter, and (iv) the date on which we have issued more than $1 billion in non-convertible debt during the preceding three-year period.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decline or become more volatile and it may be difficult for us to raise additional capital if and when we need it.</w:t>
      </w:r>
    </w:p>
    <w:p>
      <w:pPr>
        <w:spacing w:after="0" w:line="399"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costs and devote substantial management time as a result of operating as a public company, particularly after we are no longer an “emerging growth company.”</w:t>
      </w:r>
    </w:p>
    <w:p>
      <w:pPr>
        <w:spacing w:after="0" w:line="6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As a public company, we have and will continue to incur significant legal, accounting and other expenses. For example, we are required to comply with the requirements of Section 404(a) of the Sarbanes-Oxley Act and the Dodd -Frank Act, as well as rules and regulations subsequently implemented by the SEC and heightened auditing standards, and Nasdaq,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Compliance with these requirements will increase our legal and financial compliance costs and will make some activities more time consuming and costly. Further, the expenses incurred by public companies generally for reporting and corporate governance purposes have been increasing. These laws and regulations could also make it more costly for us to obtain certain types of insurance, including director and officer liability insurance and we may be forced to accept reduced policy limits and coverage or incur substantially higher costs to obtain the same or similar coverage. In addition, our management and other personnel may need to divert attention from operational and other business matters to devote substantial time to these public company requirements. In particular, we expect to continue incurring significant expenses and devote substantial management effort toward ensuring compliance with the requirements of the Sarbanes-Oxley Act. In that regard, we have needed to and may continue to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Nasdaq, regulatory investigations, civil or criminal sanctions and litigation, any of which would have a material and adverse effect on our business, results of operations and financial condition. Furthermore, if we are unable to satisfy our obligations as a public company, our common stock could be delisted, and we could be subject to fines, sanctions and other regulatory action and potentially civil litigation. Failure to remain in full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59"/>
        <w:spacing w:after="0" w:line="282" w:lineRule="auto"/>
        <w:rPr>
          <w:sz w:val="20"/>
          <w:szCs w:val="20"/>
          <w:color w:val="auto"/>
        </w:rPr>
      </w:pPr>
      <w:r>
        <w:rPr>
          <w:rFonts w:ascii="Times New Roman" w:cs="Times New Roman" w:eastAsia="Times New Roman" w:hAnsi="Times New Roman"/>
          <w:sz w:val="18"/>
          <w:szCs w:val="18"/>
          <w:color w:val="auto"/>
        </w:rPr>
        <w:t>compliance with these and other applicable rules and regulations may also subject us to fines or other enforcement action or adversely affect our business, results of operations and financial condition.</w:t>
      </w:r>
    </w:p>
    <w:p>
      <w:pPr>
        <w:spacing w:after="0" w:line="81"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1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until such time as those standards apply to private companies. As of December 31, 2022 we have not delayed the adoption of new or revised accounting standards as allowed under the JOBS Act.</w:t>
      </w:r>
    </w:p>
    <w:p>
      <w:pPr>
        <w:spacing w:after="0" w:line="10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110"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We cannot predict or estimate the amount of additional costs we may incur as a result of becoming a public company or the timing and materiality of such costs.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and bylaws include provisions limiting ownership and voting by non-U.S. citizens.</w:t>
      </w:r>
    </w:p>
    <w:p>
      <w:pPr>
        <w:spacing w:after="0" w:line="16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327"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In addition, only U.S. citizens may purchase shares in this offering. By participating in this offering, you will be deemed to represent that you are a citizen of the United States, as defined in 49 U.S.C.</w:t>
      </w:r>
    </w:p>
    <w:p>
      <w:pPr>
        <w:ind w:left="1260" w:right="479"/>
        <w:spacing w:after="0" w:line="255" w:lineRule="auto"/>
        <w:tabs>
          <w:tab w:leader="none" w:pos="14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40102(a)(15). The restrictions on ownership and control of shares of our common stock could materially limit your ability to resell any shares you purchase in this offering and could adversely impact the price that investors might be willing to pay in the future for shares of our common stock.</w:t>
      </w:r>
    </w:p>
    <w:p>
      <w:pPr>
        <w:spacing w:after="0" w:line="182"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Apollo Stockholder has significant influence over us, and Apollo’s interests may conflict with our interests and the interests of other stockholders.</w:t>
      </w:r>
    </w:p>
    <w:p>
      <w:pPr>
        <w:spacing w:after="0" w:line="91"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2022, the Apollo Stockholder beneficially owned approximately 43.4% of the voting power of our outstanding common equity. Following this offering, the Apollo Stockholder will beneficially own approximately 34.7% of the voting power of our outstanding common equity (or</w:t>
      </w: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approximately 33.3% if the underwriter exercises its option to purchase additional shares in full). Although the Apollo Stockholder beneficially owns less than 50% of our outstanding common equity, individuals affiliated with Apollo continue to have significant influence over the outcome of votes on all matters requiring approval by our stockholders, including the election of directors, changes to certain of our governing documents, entering into significant corporate transactions such as mergers, tender offers, and the sale of all or substantially all of our assets and issuance of additional debt or equity. The interests of Apollo and its affiliates, including the Apollo Funds and the Apollo Stockholder, could conflict with or differ from our interests or the interests of our other stockholders. For example, the concentration of ownership held by the Apollo Stockholder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Stockholder continues to directly or indirectly beneficially own a significant amount of our equity, even if such amount is less than 50%, the Apollo Stockholder will continue to be able to substantially influence or effectively control our ability to enter into corporate transactions. The Apollo Stockholder also has a right to nominate a number of directors comprising a percentage of our board of directors in accordance with Apollo and its affiliates’ beneficial ownership of the voting power of our outstanding common stock (rounded up to the nearest whole number). As of the date of this prospectus supplement, Apollo has not exercised its right to nominate any members to our board of directors.</w:t>
      </w:r>
    </w:p>
    <w:p>
      <w:pPr>
        <w:spacing w:after="0" w:line="200" w:lineRule="exact"/>
        <w:rPr>
          <w:sz w:val="20"/>
          <w:szCs w:val="20"/>
          <w:color w:val="auto"/>
        </w:rPr>
      </w:pPr>
    </w:p>
    <w:p>
      <w:pPr>
        <w:spacing w:after="0" w:line="210" w:lineRule="exact"/>
        <w:rPr>
          <w:sz w:val="20"/>
          <w:szCs w:val="20"/>
          <w:color w:val="auto"/>
        </w:rPr>
      </w:pPr>
    </w:p>
    <w:p>
      <w:pPr>
        <w:ind w:left="1260" w:right="8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documents may impede or discourage a takeover, which could deprive our investors of the opportunity to receive a premium on their shares.</w:t>
      </w:r>
    </w:p>
    <w:p>
      <w:pPr>
        <w:spacing w:after="0" w:line="90"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make it more difficult for, or prevent a third-party from, acquiring control of us without the approval of our board of directors. These provisions include:</w:t>
      </w:r>
    </w:p>
    <w:p>
      <w:pPr>
        <w:spacing w:after="0" w:line="61" w:lineRule="exact"/>
        <w:rPr>
          <w:sz w:val="20"/>
          <w:szCs w:val="20"/>
          <w:color w:val="auto"/>
        </w:rPr>
      </w:pPr>
    </w:p>
    <w:p>
      <w:pPr>
        <w:ind w:left="1800" w:right="63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will be divided into three classes, with each class of directors serving staggered three-year terms;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3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removal of directors only for cause and only upon the affirmative vote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in voting power of all the then-outstanding shares of stock of the Company entitled to vote thereon, voting together as a single class;</w:t>
      </w:r>
    </w:p>
    <w:p>
      <w:pPr>
        <w:spacing w:after="0" w:line="91"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only the board of directors to fill any vacancy on our board of directors (other than in respect of an Apollo Director or an Amazon Director, if any (each as defined in the accompanying prospectus)), whether such vacancy occurs as a result of an increase in the number of directors or otherwise;</w:t>
      </w:r>
    </w:p>
    <w:p>
      <w:pPr>
        <w:spacing w:after="0" w:line="58" w:lineRule="exact"/>
        <w:rPr>
          <w:rFonts w:ascii="Times New Roman" w:cs="Times New Roman" w:eastAsia="Times New Roman" w:hAnsi="Times New Roman"/>
          <w:sz w:val="18"/>
          <w:szCs w:val="18"/>
          <w:color w:val="auto"/>
        </w:rPr>
      </w:pPr>
    </w:p>
    <w:p>
      <w:pPr>
        <w:ind w:left="1800" w:right="13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without any need for action by stockholders;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stockholders from acting by written consent;</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prohibiting stockholders from calling a special meeting of stockholders if less than 50.1% of the voting power of our outstanding common stock is beneficially owned by Apollo and its affiliates, including the Apollo Stockholder;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our board of directors or for proposing matters that can be acted on by stockholders at stockholder meetings.</w:t>
      </w:r>
    </w:p>
    <w:p>
      <w:pPr>
        <w:spacing w:after="0" w:line="81"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includes a provision that restricts us from engaging in any business combination with an interested stockholder for three years following the date that person becomes an interested stockholder, but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50" w:lineRule="auto"/>
        <w:rPr>
          <w:sz w:val="20"/>
          <w:szCs w:val="20"/>
          <w:color w:val="auto"/>
        </w:rPr>
      </w:pPr>
      <w:r>
        <w:rPr>
          <w:rFonts w:ascii="Times New Roman" w:cs="Times New Roman" w:eastAsia="Times New Roman" w:hAnsi="Times New Roman"/>
          <w:sz w:val="18"/>
          <w:szCs w:val="18"/>
          <w:color w:val="auto"/>
        </w:rPr>
        <w:t>such restrictions shall not apply to any business combination between Apollo and any affiliate thereof or their direct and indirect transferees, on the one hand, and us, on the other, or certain other situations as described under the heading “</w:t>
      </w:r>
      <w:r>
        <w:rPr>
          <w:rFonts w:ascii="Times New Roman" w:cs="Times New Roman" w:eastAsia="Times New Roman" w:hAnsi="Times New Roman"/>
          <w:sz w:val="18"/>
          <w:szCs w:val="18"/>
          <w:i w:val="1"/>
          <w:iCs w:val="1"/>
          <w:color w:val="auto"/>
        </w:rPr>
        <w:t>Description of Capital Stock — Certain Corporate Anti-takeover Provisions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Delaware Takeover Statute</w:t>
      </w:r>
      <w:r>
        <w:rPr>
          <w:rFonts w:ascii="Times New Roman" w:cs="Times New Roman" w:eastAsia="Times New Roman" w:hAnsi="Times New Roman"/>
          <w:sz w:val="18"/>
          <w:szCs w:val="18"/>
          <w:color w:val="auto"/>
        </w:rPr>
        <w:t>” in the accompanying prospectus.</w:t>
      </w:r>
    </w:p>
    <w:p>
      <w:pPr>
        <w:spacing w:after="0" w:line="11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Any issuance by us of preferred stock could delay or prevent a change in control of us. Our board of directors will have the authority to cause us to issue, without any further vote or action by the stockholders, shares of preferred stock, par value $ 0.01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11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addition, our Stockholders Agreement also requires the approval of the Apollo Stockholder for certain important matters, including material acquisitions and dispositions other than certain transactions in the ordinary course of business, certain issuances of equity securities and incurrence of debt, and mergers, consolidations and transfers of all or substantially all of our assets, until the first time that Apollo and its affiliates, including the Apollo Stockholder, cease to beneficially own at least 25% of our common stock. See “</w:t>
      </w:r>
      <w:r>
        <w:rPr>
          <w:rFonts w:ascii="Times New Roman" w:cs="Times New Roman" w:eastAsia="Times New Roman" w:hAnsi="Times New Roman"/>
          <w:sz w:val="18"/>
          <w:szCs w:val="18"/>
          <w:i w:val="1"/>
          <w:iCs w:val="1"/>
          <w:color w:val="auto"/>
        </w:rPr>
        <w:t>Description of Capital Stock — Certain Corporate Anti-takeover Provisions — Certain Matters that</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Require Consent of Our Stockholders</w:t>
      </w:r>
      <w:r>
        <w:rPr>
          <w:rFonts w:ascii="Times New Roman" w:cs="Times New Roman" w:eastAsia="Times New Roman" w:hAnsi="Times New Roman"/>
          <w:sz w:val="18"/>
          <w:szCs w:val="18"/>
          <w:color w:val="auto"/>
        </w:rPr>
        <w:t>” in the accompanying prospectus.</w:t>
      </w:r>
    </w:p>
    <w:p>
      <w:pPr>
        <w:spacing w:after="0" w:line="126"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Together, the provisions in our certificate of incorporation, bylaws and Stockholders Agreement and statutory provisions could make the removal of management more difficult and may discourage transactions that otherwise could involve payment of a premium over prevailing market prices for our common stock.</w:t>
      </w:r>
    </w:p>
    <w:p>
      <w:pPr>
        <w:spacing w:after="0" w:line="109"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Furthermore, the existence of the foregoing provisions, as well as the significant common stock beneficially owned by the Apollo Stockholder and its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 For a further discussion of these and</w:t>
      </w:r>
    </w:p>
    <w:p>
      <w:pPr>
        <w:spacing w:after="0" w:line="1" w:lineRule="exact"/>
        <w:rPr>
          <w:sz w:val="20"/>
          <w:szCs w:val="20"/>
          <w:color w:val="auto"/>
        </w:rPr>
      </w:pPr>
    </w:p>
    <w:p>
      <w:pPr>
        <w:ind w:left="1260" w:right="619"/>
        <w:spacing w:after="0" w:line="245" w:lineRule="auto"/>
        <w:rPr>
          <w:sz w:val="20"/>
          <w:szCs w:val="20"/>
          <w:color w:val="auto"/>
        </w:rPr>
      </w:pPr>
      <w:r>
        <w:rPr>
          <w:rFonts w:ascii="Times New Roman" w:cs="Times New Roman" w:eastAsia="Times New Roman" w:hAnsi="Times New Roman"/>
          <w:sz w:val="18"/>
          <w:szCs w:val="18"/>
          <w:color w:val="auto"/>
        </w:rPr>
        <w:t>other such anti-takeover provisions, see “</w:t>
      </w:r>
      <w:r>
        <w:rPr>
          <w:rFonts w:ascii="Times New Roman" w:cs="Times New Roman" w:eastAsia="Times New Roman" w:hAnsi="Times New Roman"/>
          <w:sz w:val="18"/>
          <w:szCs w:val="18"/>
          <w:i w:val="1"/>
          <w:iCs w:val="1"/>
          <w:color w:val="auto"/>
        </w:rPr>
        <w:t>Description of Capital Stock — Certain Corporate Anti-takeover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w:t>
      </w:r>
      <w:r>
        <w:rPr>
          <w:rFonts w:ascii="Times New Roman" w:cs="Times New Roman" w:eastAsia="Times New Roman" w:hAnsi="Times New Roman"/>
          <w:sz w:val="18"/>
          <w:szCs w:val="18"/>
          <w:color w:val="auto"/>
        </w:rPr>
        <w:t>” in the accompanying prospectus.</w:t>
      </w:r>
    </w:p>
    <w:p>
      <w:pPr>
        <w:spacing w:after="0" w:line="176" w:lineRule="exact"/>
        <w:rPr>
          <w:sz w:val="20"/>
          <w:szCs w:val="20"/>
          <w:color w:val="auto"/>
        </w:rPr>
      </w:pPr>
    </w:p>
    <w:p>
      <w:pPr>
        <w:ind w:left="1260" w:right="53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8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w:t>
      </w:r>
    </w:p>
    <w:p>
      <w:pPr>
        <w:spacing w:after="0" w:line="2" w:lineRule="exact"/>
        <w:rPr>
          <w:sz w:val="20"/>
          <w:szCs w:val="20"/>
          <w:color w:val="auto"/>
        </w:rPr>
      </w:pPr>
    </w:p>
    <w:p>
      <w:pPr>
        <w:ind w:left="1260" w:right="439"/>
        <w:spacing w:after="0" w:line="241" w:lineRule="auto"/>
        <w:tabs>
          <w:tab w:leader="none" w:pos="15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of our certificate of incorporation or our bylaws, or (iv) any action asserting a claim related to or involving the Company that is governed by the internal affairs doctrine; provided that the exclusive forum provisions will not apply to suits brought to enforce any liability or duty created by the Securities Act or the Exchange Act, or to any claim for which the federal district courts of the United States have exclusive jurisdiction.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and the federal district courts of the United States may also reach different judgments or results than would other</w:t>
      </w:r>
    </w:p>
    <w:p>
      <w:pPr>
        <w:spacing w:after="0" w:line="37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courts, including courts where a stockholder considering an action may be located or would otherwise choose to bring the action, and such judgments may be more or less favorable to us than our stockholders.</w:t>
      </w:r>
    </w:p>
    <w:p>
      <w:pPr>
        <w:spacing w:after="0" w:line="81"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 other companies’ certificates of incorporation has been challenged in legal proceedings.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82" w:lineRule="exact"/>
        <w:rPr>
          <w:sz w:val="20"/>
          <w:szCs w:val="20"/>
          <w:color w:val="auto"/>
        </w:rPr>
      </w:pPr>
    </w:p>
    <w:p>
      <w:pPr>
        <w:ind w:left="1260" w:right="6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a provision renouncing our interest and expectancy in certain corporate opportunities.</w:t>
      </w:r>
    </w:p>
    <w:p>
      <w:pPr>
        <w:spacing w:after="0" w:line="90"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Under our certificate of incorporation, none of Apollo, its affiliated funds, the portfolio companies owned by such funds, the Apollo Stockholder, any other affiliates of Apollo, Amazon or any of their respective officers, directors, principals, partners, members, managers, employees, agents or other representatives, have any duty to refrain from engaging, directly or indirectly, in the same business activities, similar business activities, or lines of business in which we operate. Under our certificate of incorporation, Apollo, its affiliated funds, the portfolio companies owned by such funds, the Apollo Stockholder, any other affiliates of Apollo, Amazon, any affiliates of Amazon or any of their respective officers, directors, principals, partners, members, managers, employees, agents or other representatives have the right to invest in, or provide services to, any person that is engaged in the same or similar business activities as us or our affiliates or directly or indirectly competes with us or any of our affiliates. In addition,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instead of us, or does not communicate information regarding a corporate opportunity to us that the officer, director, employee, managing director, or other affiliate has directed to Apollo, Amazon or their respective affiliates and representatives. For instance, a director of our company who also serves as a director, officer, principal, partner, member, manager, employee, agent or other representative of Apollo or any of its portfolio companies, funds or other affiliates may pursue certain acquisitions or other opportunities that may be complementary to our business and, as a result, such acquisition or other opportunities may not be available to us. Our board of directors consists of eight members. For so long as Amazon holds the 2019 Warrants (as defined in the accompanying prospectus) or any shares of common stock issued upon exercise of the 2019 Warrants and the ATSA remains in effect, Amazon will have the right to nominate a member or an observer to our board of directors. As of the date of this prospectus supplement, there are no Apollo Directors on our board of directors and Amazon has not exercised its right to nominate a member or an observer to our board of directors. These potential conflicts of interest could have a material and adverse effect on our business, financial condition, results of operations, or prospects if attractive corporate opportunities are allocated by Apollo to itself or its affiliated funds, the portfolio companies owned by such funds, the Apollo Stockholder or any other affiliates of Apollo instead of to us or allocated by Amazon to itself instead of to us. A description of our obligations related to corporate opportunities under our certificate of incorporation are more fully described in under the heading “</w:t>
      </w:r>
      <w:r>
        <w:rPr>
          <w:rFonts w:ascii="Times New Roman" w:cs="Times New Roman" w:eastAsia="Times New Roman" w:hAnsi="Times New Roman"/>
          <w:sz w:val="18"/>
          <w:szCs w:val="18"/>
          <w:i w:val="1"/>
          <w:iCs w:val="1"/>
          <w:color w:val="auto"/>
        </w:rPr>
        <w:t>Description of Capital Stock — Corporate Opportunity</w:t>
      </w:r>
      <w:r>
        <w:rPr>
          <w:rFonts w:ascii="Times New Roman" w:cs="Times New Roman" w:eastAsia="Times New Roman" w:hAnsi="Times New Roman"/>
          <w:sz w:val="18"/>
          <w:szCs w:val="18"/>
          <w:color w:val="auto"/>
        </w:rPr>
        <w:t>” in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60" w:right="7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90" w:lineRule="exact"/>
        <w:rPr>
          <w:sz w:val="20"/>
          <w:szCs w:val="20"/>
          <w:color w:val="auto"/>
        </w:rPr>
      </w:pPr>
    </w:p>
    <w:p>
      <w:pPr>
        <w:jc w:val="both"/>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including our subsidiaries’ credit agreement, impose restrictions on our</w:t>
      </w:r>
    </w:p>
    <w:p>
      <w:pPr>
        <w:spacing w:after="0" w:line="36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subsidiaries’ ability to pay dividends or other distributions to us. Each of our 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73"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107"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warrants granted to Amazon in 2019 increase the number of diluted shares reported, which has an effect on our diluted earnings per share to the extent the warrants actually vest. The warrants have an exercise price of approximately $ 15.17 per share, approximately 25% of which had vested as of December 31, 2022. A portion of the 2019 Warrants will vest incrementally based on aggregate global payments by Amazon to the Company or its affiliates pursuant to the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180" w:lineRule="exact"/>
        <w:rPr>
          <w:sz w:val="20"/>
          <w:szCs w:val="20"/>
          <w:color w:val="auto"/>
        </w:rPr>
      </w:pPr>
    </w:p>
    <w:p>
      <w:pPr>
        <w:ind w:left="12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or convertible securities in connection with our incentive plans, acquisitions or otherwise, which could adversely affect our stock price.</w:t>
      </w:r>
    </w:p>
    <w:p>
      <w:pPr>
        <w:spacing w:after="0" w:line="6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of December 31, 2022, we had 936,782,353 shares of common stock authorized but unissued. Our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 As of December 31, 2022, we had approximately 4,535,055 options outstanding, which are exercisable into approximately 4,535,055 shares of common stock, 230,191 shares of common stock that may be issued upon the vesting of outstanding restricted stock units and the 2019 Warrants outstanding, which are exercisable for 9,482,606 shares of common stock, subject to vesting requirements. Of the 2019 Warrants, approximately 25% have vested as of December 31, 2022 and the remainder will vest incrementally based on aggregate global payments by Amazon to the Company or its affiliates pursuant to the ATSA. We reserved approximately 3,600,000 shares for grant under our 2021 equity incentive plan, of which 3,276,169 remain available as of December 31, 2022. Any common stock that we issue, including under our 2021 equity incentive plan or other equity incentive plans that we may adopt in the future, as well as under outstanding options or warrants would dilute the percentage ownership held by the investors who purchase common stock in this offering.</w:t>
      </w:r>
    </w:p>
    <w:p>
      <w:pPr>
        <w:spacing w:after="0" w:line="33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From time to time in the future, we may also issue additional shares of our common stock or securities convertible into common stock pursuant to a variety of transactions, including acquisitions. Our issuance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91"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or the perception in the public market that such sales may occur, could reduce our stock price.</w:t>
      </w:r>
    </w:p>
    <w:p>
      <w:pPr>
        <w:spacing w:after="0" w:line="90"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2022, we had 57,325,238 shares of common stock outstanding, warrants to purchase 9,482,606 shares of common stock options to purchase 4,535,055 shares of common stock and</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230,191 shares of common stock that may be issued upon the vesting of outstanding restricted stock units.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the Apollo Stockholder and all of our executive officers and directors have agreed that, for a period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60 days after the date of this prospectus supplement, we and they will not, without the prior written consent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Barclays Capital Inc., dispose of any shares of common stock or any securities convertible into or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exchangeable for our common stock, subject to certain exceptions. See “</w:t>
      </w:r>
      <w:r>
        <w:rPr>
          <w:rFonts w:ascii="Times New Roman" w:cs="Times New Roman" w:eastAsia="Times New Roman" w:hAnsi="Times New Roman"/>
          <w:sz w:val="18"/>
          <w:szCs w:val="18"/>
          <w:i w:val="1"/>
          <w:iCs w:val="1"/>
          <w:color w:val="auto"/>
        </w:rPr>
        <w:t>Underwriting (Conflict of</w:t>
      </w:r>
    </w:p>
    <w:p>
      <w:pPr>
        <w:ind w:left="1260"/>
        <w:spacing w:after="0" w:line="234" w:lineRule="auto"/>
        <w:rPr>
          <w:sz w:val="20"/>
          <w:szCs w:val="20"/>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Following the expiration of the applicable lock-up period, all of the issued and outstanding shares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our common stock will be eligible for future sale, subject to the applicable volume, manner of sale,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holding periods, and other limitations of Rule 144. Barclays Capital Inc., in its sole discretion, release all or</w:t>
      </w:r>
    </w:p>
    <w:p>
      <w:pPr>
        <w:ind w:left="1260"/>
        <w:spacing w:after="0" w:line="234" w:lineRule="auto"/>
        <w:rPr>
          <w:sz w:val="20"/>
          <w:szCs w:val="20"/>
          <w:color w:val="auto"/>
        </w:rPr>
      </w:pPr>
      <w:r>
        <w:rPr>
          <w:rFonts w:ascii="Times New Roman" w:cs="Times New Roman" w:eastAsia="Times New Roman" w:hAnsi="Times New Roman"/>
          <w:sz w:val="18"/>
          <w:szCs w:val="18"/>
          <w:color w:val="auto"/>
        </w:rPr>
        <w:t>any portion of the shares subject to lock-up agreements at any time and for any reason. In addition, certain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our existing stockholders, including the Apollo Stockholder and Amazon, have certain rights to require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 to register the sale of common stock held by them including in connection with underwritten offerings.</w:t>
      </w:r>
    </w:p>
    <w:p>
      <w:pPr>
        <w:ind w:left="1260"/>
        <w:spacing w:after="0" w:line="234" w:lineRule="auto"/>
        <w:rPr>
          <w:sz w:val="20"/>
          <w:szCs w:val="20"/>
          <w:color w:val="auto"/>
        </w:rPr>
      </w:pPr>
      <w:r>
        <w:rPr>
          <w:rFonts w:ascii="Times New Roman" w:cs="Times New Roman" w:eastAsia="Times New Roman" w:hAnsi="Times New Roman"/>
          <w:sz w:val="18"/>
          <w:szCs w:val="18"/>
          <w:color w:val="auto"/>
        </w:rPr>
        <w:t>Pursuant to these registration rights, we filed a “shelf” registration statement, under which the Apollo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Stockholder and Amazon could offer and sell, from time-to-time, up to an aggregate of 34,352,603 shares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common stock, including 9,482,606 shares of our common stock issuable upon exercise of outstanding</w:t>
      </w:r>
    </w:p>
    <w:p>
      <w:pPr>
        <w:ind w:left="1260"/>
        <w:spacing w:after="0" w:line="234" w:lineRule="auto"/>
        <w:rPr>
          <w:sz w:val="20"/>
          <w:szCs w:val="20"/>
          <w:color w:val="auto"/>
        </w:rPr>
      </w:pPr>
      <w:r>
        <w:rPr>
          <w:rFonts w:ascii="Times New Roman" w:cs="Times New Roman" w:eastAsia="Times New Roman" w:hAnsi="Times New Roman"/>
          <w:sz w:val="18"/>
          <w:szCs w:val="18"/>
          <w:color w:val="auto"/>
        </w:rPr>
        <w:t>warrants. This prospectus supplement and the accompanying prospectus form a part of such “shelf”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registration statement and the resale of shares of common stock by the Apollo Stockholder in this offering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will reduce the number of shares of common stock that may be offered and sold under such “shelf”</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registration statement in the future. Additionally, we filed a registration statement in respect of all shares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common stock that we may issue under our 2021 equity incentive plan and our 2018 equity incentive plan.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After registration, these shares can be freely sold in the public market upon issuance. Sales of significant</w:t>
      </w:r>
    </w:p>
    <w:p>
      <w:pPr>
        <w:ind w:left="1260"/>
        <w:spacing w:after="0" w:line="234" w:lineRule="auto"/>
        <w:rPr>
          <w:sz w:val="20"/>
          <w:szCs w:val="20"/>
          <w:color w:val="auto"/>
        </w:rPr>
      </w:pPr>
      <w:r>
        <w:rPr>
          <w:rFonts w:ascii="Times New Roman" w:cs="Times New Roman" w:eastAsia="Times New Roman" w:hAnsi="Times New Roman"/>
          <w:sz w:val="18"/>
          <w:szCs w:val="18"/>
          <w:color w:val="auto"/>
        </w:rPr>
        <w:t>amounts of stock in the public market upon expiration of lock-up agreements, the perception that such sales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occur, or early release of any lock-up agreements, could adversely affect prevailing market prices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common stock or make it more difficult to sell shares of common stock at a time and price that you</w:t>
      </w:r>
    </w:p>
    <w:p>
      <w:pPr>
        <w:ind w:left="1260"/>
        <w:spacing w:after="0"/>
        <w:rPr>
          <w:sz w:val="20"/>
          <w:szCs w:val="20"/>
          <w:color w:val="auto"/>
        </w:rPr>
      </w:pPr>
      <w:r>
        <w:rPr>
          <w:rFonts w:ascii="Times New Roman" w:cs="Times New Roman" w:eastAsia="Times New Roman" w:hAnsi="Times New Roman"/>
          <w:sz w:val="18"/>
          <w:szCs w:val="18"/>
          <w:color w:val="auto"/>
        </w:rPr>
        <w:t>deem appropriate.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do not anticipate paying any dividends in the foreseeable future on our common stock. We intend to retain all future earnings for the operation and expansion of our business, the repayment of outstanding debt, and for general corporate purposes. Our subsidiaries’ credit agreement contains,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the only source of gain for the foreseeable future. While we may change this policy at some point in the future, we cannot assure you that we will make such a change.</w:t>
      </w:r>
    </w:p>
    <w:p>
      <w:pPr>
        <w:spacing w:after="0" w:line="392"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our stock price could decline.</w:t>
      </w:r>
    </w:p>
    <w:p>
      <w:pPr>
        <w:spacing w:after="0" w:line="7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pacing w:after="0" w:line="191" w:lineRule="exact"/>
        <w:rPr>
          <w:sz w:val="20"/>
          <w:szCs w:val="20"/>
          <w:color w:val="auto"/>
        </w:rPr>
      </w:pPr>
    </w:p>
    <w:p>
      <w:pPr>
        <w:ind w:left="1260" w:right="9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issue preferred securities, the terms of which could adversely affect the voting power or value of our common stock.</w:t>
      </w:r>
    </w:p>
    <w:p>
      <w:pPr>
        <w:spacing w:after="0" w:line="9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Our certificate of incorporation authorizes us to issue, without the approval of our stockholders, one or more classes or series of preferred securities having such designations, preferences, limitations, and relative rights, including preferences over our common stock respecting dividends and distributions, as our board of directors may determine. The terms of one or more classes or series of preferred securities could adversely impact the voting power or value of our common stock. For example, we might grant holders of preferred securities the right to elect some number of our directors in all events or on the happening of specified events or the right to veto specified transactions. Similarly, the repurchase or redemption rights or liquidation preferences we might assign to holders of preferred securities could affect the residual value of the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pay our pre-IPO stockholders for certain tax benefits, and the amounts of such payments could be material.</w:t>
      </w:r>
    </w:p>
    <w:p>
      <w:pPr>
        <w:spacing w:after="0" w:line="9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entered into an income tax receivable agreement with our pre-IPO stockholders that provides for the payment by us to our pre-IPO stockholders of 85% of the amount of cash savings, if any, in U.S. federal, foreign, state and local income tax that we and our subsidiaries actually realize for periods starting at least 12 months after the closing date of our initial public offering as a result of the utilization of tax attributes existing at the time of our initial public offering.</w:t>
      </w:r>
    </w:p>
    <w:p>
      <w:pPr>
        <w:spacing w:after="0" w:line="116"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These tax attributes include net operating loss carryforwards, deductions, tax basis and certain other tax attributes, in each case that relate to periods (or portions thereof) ending on or prior to the closing date of our initial public offering.</w:t>
      </w:r>
    </w:p>
    <w:p>
      <w:pPr>
        <w:spacing w:after="0" w:line="95"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expect that the payments we make under the income tax receivable agreement could be material. Assuming no material changes in the relevant tax law, and that we and our subsidiaries earn sufficient income to realize the full tax benefits subject to the income tax receivable agreement, we expect that future payments under the income tax receivable agreement will aggregate to be approximately $103.8 million. Payments in accordance with the terms of the income tax receivable agreement could have an adverse effect on our liquidity and financial condition.</w:t>
      </w:r>
    </w:p>
    <w:p>
      <w:pPr>
        <w:spacing w:after="0" w:line="12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124"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To the extent that we are unable to make payments under the income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continuing to improve our internal control over financial reporting.</w:t>
      </w:r>
    </w:p>
    <w:p>
      <w:pPr>
        <w:spacing w:after="0" w:line="148"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ending December 31, 2026. At such time, our internal control over financial reporting may be insufficiently documented, designed or operating, which may cause our independent registered public accounting firm to issue a report that is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CONCURRENT SHARE REPURCHASE</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Subject to the completion of this offering, we have agreed to repurchase 750,000 of the shares of common stock that are the subject of this offering from the underwriter at a price of $19.75 per share, which is the price at which the underwriter will purchase the shares from the selling stockholder in this offering. The terms and conditions of the Concurrent Share Repurchase were reviewed and approved by the audit committee of our board of directors. The Concurrent Share Repurchase will be funded from our existing cash on hand. The underwriter will not receive any compensation for the shares of our common stock being repurchased by us.</w:t>
      </w:r>
    </w:p>
    <w:p>
      <w:pPr>
        <w:spacing w:after="0" w:line="336"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The Concurrent Share Repurchase is being made pursuant to our stock repurchase program announced during the fourth quarter of 2022 pursuant to which we may purchase up to $50.0 million of our common stock. The Concurrent Share Repurchase will reduce remaining availability under the stock repurchase program.</w:t>
      </w:r>
    </w:p>
    <w:p>
      <w:pPr>
        <w:spacing w:after="0" w:line="31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This description and the other information in this prospectus supplement regarding the Concurrent Share Repurchase are included in this prospectus supplement solely for informational purposes. Nothing in this prospectus supplement should be construed as an offer to sell, or the solicitation of an offer to buy, any shares of our common stock subject to the Concurrent Share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All of the shares of common stock being offered hereby are being sold by the selling stockholder identified in this prospectus supplement. We will not receive any proceeds from the sale of the shares of common stock by the selling stockholder. The selling stockholder will receive all of the net proceeds from this offering. We have agreed to pay all expenses relating to registering the shares of common stock. See “</w:t>
      </w:r>
      <w:r>
        <w:rPr>
          <w:rFonts w:ascii="Times New Roman" w:cs="Times New Roman" w:eastAsia="Times New Roman" w:hAnsi="Times New Roman"/>
          <w:sz w:val="18"/>
          <w:szCs w:val="18"/>
          <w:i w:val="1"/>
          <w:iCs w:val="1"/>
          <w:color w:val="auto"/>
        </w:rPr>
        <w:t>Selling Stockholder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62" w:lineRule="exact"/>
        <w:rPr>
          <w:sz w:val="20"/>
          <w:szCs w:val="20"/>
          <w:color w:val="auto"/>
        </w:rPr>
      </w:pPr>
    </w:p>
    <w:p>
      <w:pPr>
        <w:ind w:left="1260" w:right="9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February 15, 2023 with respect to the ownership of our shares of common stock by the Apollo Stockholder, the selling stockholder.</w:t>
      </w:r>
    </w:p>
    <w:p>
      <w:pPr>
        <w:spacing w:after="0" w:line="94" w:lineRule="exact"/>
        <w:rPr>
          <w:sz w:val="20"/>
          <w:szCs w:val="20"/>
          <w:color w:val="auto"/>
        </w:rPr>
      </w:pPr>
    </w:p>
    <w:p>
      <w:pPr>
        <w:ind w:left="1260" w:right="900" w:firstLine="360"/>
        <w:spacing w:after="0" w:line="256" w:lineRule="auto"/>
        <w:rPr>
          <w:sz w:val="20"/>
          <w:szCs w:val="20"/>
          <w:color w:val="auto"/>
        </w:rPr>
      </w:pPr>
      <w:r>
        <w:rPr>
          <w:rFonts w:ascii="Times New Roman" w:cs="Times New Roman" w:eastAsia="Times New Roman" w:hAnsi="Times New Roman"/>
          <w:sz w:val="18"/>
          <w:szCs w:val="18"/>
          <w:color w:val="auto"/>
        </w:rPr>
        <w:t>The percentage of common stock beneficially owned by the selling stockholder before this offering is based on 57,325,238 shares of common stock outstanding as of December 31, 2022. 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Common Stock</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Shares of Common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Hereby</w:t>
            </w:r>
          </w:p>
        </w:tc>
        <w:tc>
          <w:tcPr>
            <w:tcW w:w="160" w:type="dxa"/>
            <w:vAlign w:val="bottom"/>
          </w:tcPr>
          <w:p>
            <w:pPr>
              <w:spacing w:after="0"/>
              <w:rPr>
                <w:sz w:val="14"/>
                <w:szCs w:val="1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of Common Stock</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Hereby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Stock Beneficially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Shares of Common</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Assuming</w:t>
            </w:r>
          </w:p>
        </w:tc>
        <w:tc>
          <w:tcPr>
            <w:tcW w:w="160" w:type="dxa"/>
            <w:vAlign w:val="bottom"/>
          </w:tcPr>
          <w:p>
            <w:pPr>
              <w:spacing w:after="0"/>
              <w:rPr>
                <w:sz w:val="14"/>
                <w:szCs w:val="1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 Owned After this</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Owned After this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Stock Beneficially</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60" w:type="dxa"/>
            <w:vAlign w:val="bottom"/>
          </w:tcPr>
          <w:p>
            <w:pPr>
              <w:spacing w:after="0"/>
              <w:rPr>
                <w:sz w:val="14"/>
                <w:szCs w:val="1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Offering Assuming</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Underwriter’s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Offering Assuming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Owned Before this</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Option is Not</w:t>
            </w:r>
          </w:p>
        </w:tc>
        <w:tc>
          <w:tcPr>
            <w:tcW w:w="160" w:type="dxa"/>
            <w:vAlign w:val="bottom"/>
          </w:tcPr>
          <w:p>
            <w:pPr>
              <w:spacing w:after="0"/>
              <w:rPr>
                <w:sz w:val="12"/>
                <w:szCs w:val="12"/>
                <w:color w:val="auto"/>
              </w:rPr>
            </w:pPr>
          </w:p>
        </w:tc>
        <w:tc>
          <w:tcPr>
            <w:tcW w:w="17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Underwriter’s Option is Not</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Option is</w:t>
            </w:r>
          </w:p>
        </w:tc>
        <w:tc>
          <w:tcPr>
            <w:tcW w:w="140" w:type="dxa"/>
            <w:vAlign w:val="bottom"/>
          </w:tcPr>
          <w:p>
            <w:pPr>
              <w:spacing w:after="0"/>
              <w:rPr>
                <w:sz w:val="12"/>
                <w:szCs w:val="12"/>
                <w:color w:val="auto"/>
              </w:rPr>
            </w:pPr>
          </w:p>
        </w:tc>
        <w:tc>
          <w:tcPr>
            <w:tcW w:w="140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Underwriter’s Option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Exercised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20" w:type="dxa"/>
            <w:vAlign w:val="bottom"/>
            <w:gridSpan w:val="3"/>
          </w:tcPr>
          <w:p>
            <w:pPr>
              <w:jc w:val="center"/>
              <w:ind w:left="451"/>
              <w:spacing w:after="0"/>
              <w:rPr>
                <w:sz w:val="20"/>
                <w:szCs w:val="20"/>
                <w:color w:val="auto"/>
              </w:rPr>
            </w:pPr>
            <w:r>
              <w:rPr>
                <w:rFonts w:ascii="Times New Roman" w:cs="Times New Roman" w:eastAsia="Times New Roman" w:hAnsi="Times New Roman"/>
                <w:sz w:val="14"/>
                <w:szCs w:val="14"/>
                <w:b w:val="1"/>
                <w:bCs w:val="1"/>
                <w:color w:val="auto"/>
                <w:w w:val="92"/>
              </w:rPr>
              <w:t>Exercised</w:t>
            </w:r>
            <w:r>
              <w:rPr>
                <w:rFonts w:ascii="Times New Roman" w:cs="Times New Roman" w:eastAsia="Times New Roman" w:hAnsi="Times New Roman"/>
                <w:sz w:val="17"/>
                <w:szCs w:val="17"/>
                <w:b w:val="1"/>
                <w:bCs w:val="1"/>
                <w:color w:val="auto"/>
                <w:w w:val="92"/>
                <w:vertAlign w:val="superscript"/>
              </w:rPr>
              <w:t>(1)</w:t>
            </w:r>
          </w:p>
        </w:tc>
        <w:tc>
          <w:tcPr>
            <w:tcW w:w="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Exercised</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is Exercised</w:t>
            </w:r>
            <w:r>
              <w:rPr>
                <w:rFonts w:ascii="Times New Roman" w:cs="Times New Roman" w:eastAsia="Times New Roman" w:hAnsi="Times New Roman"/>
                <w:sz w:val="17"/>
                <w:szCs w:val="17"/>
                <w:b w:val="1"/>
                <w:bCs w:val="1"/>
                <w:color w:val="auto"/>
                <w:w w:val="94"/>
                <w:vertAlign w:val="superscript"/>
              </w:rPr>
              <w:t>(1)</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Percent </w:t>
            </w:r>
            <w:r>
              <w:rPr>
                <w:rFonts w:ascii="Times New Roman" w:cs="Times New Roman" w:eastAsia="Times New Roman" w:hAnsi="Times New Roman"/>
                <w:sz w:val="27"/>
                <w:szCs w:val="27"/>
                <w:b w:val="1"/>
                <w:bCs w:val="1"/>
                <w:color w:val="auto"/>
                <w:vertAlign w:val="subscript"/>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2400" w:type="dxa"/>
            <w:vAlign w:val="bottom"/>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 xml:space="preserve">SCA Horus Holdings, LLC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​24,869,997</w:t>
            </w:r>
          </w:p>
        </w:tc>
        <w:tc>
          <w:tcPr>
            <w:tcW w:w="12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43.4%</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5,250,000</w:t>
            </w: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19,619,997</w:t>
            </w:r>
          </w:p>
        </w:tc>
        <w:tc>
          <w:tcPr>
            <w:tcW w:w="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34.7%</w:t>
            </w: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6,037,500</w:t>
            </w:r>
          </w:p>
        </w:tc>
        <w:tc>
          <w:tcPr>
            <w:tcW w:w="140" w:type="dxa"/>
            <w:vAlign w:val="bottom"/>
            <w:tcBorders>
              <w:right w:val="single" w:sz="8" w:color="CCEEFF"/>
            </w:tcBorders>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​18,832,497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2400" w:type="dxa"/>
            <w:vAlign w:val="bottom"/>
            <w:shd w:val="clear" w:color="auto" w:fill="CCEEFF"/>
          </w:tcPr>
          <w:p>
            <w:pPr>
              <w:spacing w:after="0"/>
              <w:rPr>
                <w:sz w:val="5"/>
                <w:szCs w:val="5"/>
                <w:color w:val="auto"/>
              </w:rPr>
            </w:pPr>
          </w:p>
        </w:tc>
        <w:tc>
          <w:tcPr>
            <w:tcW w:w="340" w:type="dxa"/>
            <w:vAlign w:val="bottom"/>
            <w:gridSpan w:val="2"/>
            <w:shd w:val="clear" w:color="auto" w:fill="CCEEFF"/>
          </w:tcPr>
          <w:p>
            <w:pPr>
              <w:ind w:left="160"/>
              <w:spacing w:after="0" w:line="68" w:lineRule="exact"/>
              <w:rPr>
                <w:sz w:val="20"/>
                <w:szCs w:val="20"/>
                <w:color w:val="auto"/>
              </w:rPr>
            </w:pPr>
            <w:r>
              <w:rPr>
                <w:rFonts w:ascii="Times New Roman" w:cs="Times New Roman" w:eastAsia="Times New Roman" w:hAnsi="Times New Roman"/>
                <w:sz w:val="7"/>
                <w:szCs w:val="7"/>
                <w:color w:val="auto"/>
              </w:rPr>
              <w:t>​​​</w:t>
            </w:r>
          </w:p>
        </w:tc>
        <w:tc>
          <w:tcPr>
            <w:tcW w:w="740" w:type="dxa"/>
            <w:vAlign w:val="bottom"/>
            <w:shd w:val="clear" w:color="auto" w:fill="CCEEFF"/>
          </w:tcPr>
          <w:p>
            <w:pPr>
              <w:spacing w:after="0"/>
              <w:rPr>
                <w:sz w:val="5"/>
                <w:szCs w:val="5"/>
                <w:color w:val="auto"/>
              </w:rPr>
            </w:pPr>
          </w:p>
        </w:tc>
        <w:tc>
          <w:tcPr>
            <w:tcW w:w="58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18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920" w:type="dxa"/>
            <w:vAlign w:val="bottom"/>
            <w:tcBorders>
              <w:right w:val="single" w:sz="8" w:color="CCEEFF"/>
            </w:tcBorders>
            <w:shd w:val="clear" w:color="auto" w:fill="CCEEFF"/>
          </w:tcPr>
          <w:p>
            <w:pPr>
              <w:ind w:left="8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980" w:type="dxa"/>
            <w:vAlign w:val="bottom"/>
            <w:shd w:val="clear" w:color="auto" w:fill="CCEEFF"/>
          </w:tcPr>
          <w:p>
            <w:pPr>
              <w:ind w:left="8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gridSpan w:val="2"/>
            <w:vMerge w:val="continue"/>
            <w:shd w:val="clear" w:color="auto" w:fill="CCEEFF"/>
          </w:tcPr>
          <w:p>
            <w:pPr>
              <w:spacing w:after="0"/>
              <w:rPr>
                <w:sz w:val="5"/>
                <w:szCs w:val="5"/>
                <w:color w:val="auto"/>
              </w:rPr>
            </w:pPr>
          </w:p>
        </w:tc>
        <w:tc>
          <w:tcPr>
            <w:tcW w:w="540" w:type="dxa"/>
            <w:vAlign w:val="bottom"/>
            <w:shd w:val="clear" w:color="auto" w:fill="CCEEFF"/>
          </w:tcPr>
          <w:p>
            <w:pPr>
              <w:ind w:left="6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940" w:type="dxa"/>
            <w:vAlign w:val="bottom"/>
            <w:tcBorders>
              <w:right w:val="single" w:sz="8" w:color="CCEEFF"/>
            </w:tcBorders>
            <w:shd w:val="clear" w:color="auto" w:fill="CCEEFF"/>
          </w:tcPr>
          <w:p>
            <w:pPr>
              <w:ind w:left="80"/>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gridSpan w:val="2"/>
            <w:shd w:val="clear" w:color="auto" w:fill="CCEEFF"/>
          </w:tcPr>
          <w:p>
            <w:pPr>
              <w:jc w:val="center"/>
              <w:spacing w:after="0" w:line="68" w:lineRule="exact"/>
              <w:rPr>
                <w:sz w:val="20"/>
                <w:szCs w:val="20"/>
                <w:color w:val="auto"/>
              </w:rPr>
            </w:pPr>
            <w:r>
              <w:rPr>
                <w:rFonts w:ascii="Times New Roman" w:cs="Times New Roman" w:eastAsia="Times New Roman" w:hAnsi="Times New Roman"/>
                <w:sz w:val="7"/>
                <w:szCs w:val="7"/>
                <w:color w:val="auto"/>
              </w:rPr>
              <w:t>​​​​</w:t>
            </w:r>
          </w:p>
        </w:tc>
        <w:tc>
          <w:tcPr>
            <w:tcW w:w="740" w:type="dxa"/>
            <w:vAlign w:val="bottom"/>
            <w:tcBorders>
              <w:right w:val="single" w:sz="8" w:color="CCEEFF"/>
            </w:tcBorders>
            <w:shd w:val="clear" w:color="auto" w:fill="CCEEFF"/>
          </w:tcPr>
          <w:p>
            <w:pPr>
              <w:spacing w:after="0"/>
              <w:rPr>
                <w:sz w:val="5"/>
                <w:szCs w:val="5"/>
                <w:color w:val="auto"/>
              </w:rPr>
            </w:pPr>
          </w:p>
        </w:tc>
        <w:tc>
          <w:tcPr>
            <w:tcW w:w="580" w:type="dxa"/>
            <w:vAlign w:val="bottom"/>
            <w:gridSpan w:val="2"/>
            <w:shd w:val="clear" w:color="auto" w:fill="CCEEFF"/>
          </w:tcPr>
          <w:p>
            <w:pPr>
              <w:jc w:val="right"/>
              <w:ind w:right="340"/>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6115050</wp:posOffset>
            </wp:positionH>
            <wp:positionV relativeFrom="paragraph">
              <wp:posOffset>-196215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-196215</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-196215</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-196215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-196215</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-196215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-196215</wp:posOffset>
            </wp:positionV>
            <wp:extent cx="22974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2974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right="920" w:hanging="360"/>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beneficial ownership of our common stock after this offering is based on 57,325,238 shares of common stock outstanding as of December 31, 2022 and gives effect to the repurchase by us of 750,000 shares of common stock from the underwriter in the Concurrent Share Repurchase.</w:t>
      </w:r>
    </w:p>
    <w:p>
      <w:pPr>
        <w:spacing w:after="0" w:line="27" w:lineRule="exact"/>
        <w:rPr>
          <w:rFonts w:ascii="Times New Roman" w:cs="Times New Roman" w:eastAsia="Times New Roman" w:hAnsi="Times New Roman"/>
          <w:sz w:val="18"/>
          <w:szCs w:val="18"/>
          <w:color w:val="auto"/>
        </w:rPr>
      </w:pPr>
    </w:p>
    <w:p>
      <w:pPr>
        <w:ind w:left="1620" w:right="920" w:hanging="360"/>
        <w:spacing w:after="0" w:line="259"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 Horus Holdings, LLC is managed by a board of directors consisting of Patrick Kearney and Antoine Munfakh. Messrs. Kearney and Munfakh each disclaim any beneficial ownership of the shares of common stock held by SCA Horus Holdings, LLC except to the extent of their pecuniary interest therein. The address for SCA Horus Holdings, LLC is 9 West 57th Street, 43rd Floor, New York, New York 10019.</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Stockholder</w:t>
      </w:r>
    </w:p>
    <w:p>
      <w:pPr>
        <w:spacing w:after="0" w:line="162" w:lineRule="exact"/>
        <w:rPr>
          <w:sz w:val="20"/>
          <w:szCs w:val="20"/>
          <w:color w:val="auto"/>
        </w:rPr>
      </w:pPr>
    </w:p>
    <w:p>
      <w:pPr>
        <w:ind w:left="1260" w:right="960" w:firstLine="360"/>
        <w:spacing w:after="0" w:line="258" w:lineRule="auto"/>
        <w:rPr>
          <w:sz w:val="20"/>
          <w:szCs w:val="20"/>
          <w:color w:val="auto"/>
        </w:rPr>
      </w:pPr>
      <w:r>
        <w:rPr>
          <w:rFonts w:ascii="Times New Roman" w:cs="Times New Roman" w:eastAsia="Times New Roman" w:hAnsi="Times New Roman"/>
          <w:sz w:val="18"/>
          <w:szCs w:val="18"/>
          <w:color w:val="auto"/>
        </w:rPr>
        <w:t>The Apollo Stockholder is an affiliate of Apollo. Additionally, the Apollo Stockholder is a party to the Income Tax Receivable Agreement, the Stockholders Agreement and the Registration Rights Agreement, each of which provides Apollo with certain governance and other rights. For more information on each of these agreements, please refer to the descriptions of these agreements found in our filings, which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20"/>
          </w:cols>
          <w:pgMar w:left="580" w:top="97" w:right="999"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considerations applicable to Non-U.S. Holders (as defined below) with respect to the ownership and disposition of our common stock. The following discussion is based upon current provisions of the Code, U.S. judicial decisions, administrative pronouncements and existing and proposed Treasury regulations, all as in effect as of the date hereof. All of the preceding authorities are subject to change at any time, possibly with retroactive effect, so as to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12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This discussion addresses only beneficial owners of our common stock that hold such common stock as a capital asset within the meaning of Section 1221 of the Code (generally, property held for investment) and that are Non-U.S. Holders (as defined below). This discussion does not address all aspects of U.S. federal income taxation that may be important to a Non-U.S. Holder in light of such Non-U.S. Holder’s particular circumstances or that may be applicable to Non-U.S. Holders subject to special treatment under U.S. federal income tax law (including, for example, financial institutions, regulated investment companies, foreign governments, real estate investment trusts, dealers in securities, traders in securities that elect mark-to-market treatment, insurance companies, tax-exempt entities, Non-U.S. Holders who acquire our common stock pursuant to the exercise of employee stock options or otherwise as compensation for their services, Non-U.S. Holders liable for the alternative minimum tax, Non-U.S. Holders required to conform the timing of income accruals to financial statements pursuant to Section 451 of the Code, controlled foreign corporations, passive foreign investment companies, former citizens or former long-term residents of the United States, and Non-U.S. Holders that hold our common stock as part of a hedge, straddle, other integrated transaction, constructive sale or conversion transaction). In addition, this discussion does not address U.S. federal tax laws other than those pertaining to U.S. federal income tax (such as U.S. federal estate or gift tax, the Medicare contribution tax on certain net investment income, or the alternative minimum tax), nor does it address any aspects of U.S. state, local or non-U.S. taxes. Non-U.S. Holders are urged to consult with their own tax advisors regarding the possible application of these taxes.</w:t>
      </w:r>
    </w:p>
    <w:p>
      <w:pPr>
        <w:spacing w:after="0" w:line="11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“Non-U.S. Holder” means a beneficial owner of our common stock that is an individual, corporation, estate or trust, other than:</w:t>
      </w:r>
    </w:p>
    <w:p>
      <w:pPr>
        <w:spacing w:after="0" w:line="67" w:lineRule="exact"/>
        <w:rPr>
          <w:sz w:val="20"/>
          <w:szCs w:val="20"/>
          <w:color w:val="auto"/>
        </w:rPr>
      </w:pPr>
    </w:p>
    <w:p>
      <w:pPr>
        <w:ind w:left="1800" w:right="49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as determined for U.S. federal income tax purposes;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domestic trust.</w:t>
      </w:r>
    </w:p>
    <w:p>
      <w:pPr>
        <w:spacing w:after="0" w:line="9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shares of our common stock, the tax treatment of a person treated as a partner of such partnership generally will depend on the status of the partner and the activities of the partnership. Persons that, for U.S. federal income tax purposes, are treated as partners in a partnership holding shares of our common stock are urged to consult their own tax advisors.</w:t>
      </w:r>
    </w:p>
    <w:p>
      <w:pPr>
        <w:spacing w:after="0" w:line="116"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Prospective purchasers are urged to consult their tax advisors as to the particular consequences to them under U.S. federal, state and local, and applicable foreign tax laws of the acquisition, ownership and disposition of our common stock.</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Although we do not anticipate that we will make any distributions on our common stock in the foreseeable future, distributions of cash or property that we pay in respect of our common stock will constitute dividends for U.S. federal income tax purposes to the extent paid from our current or accumulated earnings and profits (as determined under U.S. federal income tax principles) . Subject to the discussions below under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you generally will be subject to U.S. federal withholding tax at a 30% rate, or at a reduced rate prescribed by an applicable income tax treaty, on any dividends received in respect of our common stock. 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at the applicable rate on the entire distribution, in which case you would be entitled to a refund from the IRS for the withholding tax on the portion, if any, of the distribution that exceeded our current and accumulated earnings and profits.</w:t>
      </w:r>
    </w:p>
    <w:p>
      <w:pPr>
        <w:spacing w:after="0" w:line="32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order to obtain a reduced rate of U.S. federal withholding tax under an applicable income tax treaty, you will be required to provide a properly executed IRS Form W-8BEN or Form W-8BEN-E (or, in each case, another applicable form or an appropriate successor form) certifying your entitlement to benefits under the treaty.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applicable income tax treaty.</w:t>
      </w:r>
    </w:p>
    <w:p>
      <w:pPr>
        <w:spacing w:after="0" w:line="114"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Dividend income that is effectively connected with your conduct of a trade or business within the United States will be taxed in the manner described in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Common Stock</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Subject to the discussions below under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Information Reporting</w:t>
      </w:r>
    </w:p>
    <w:p>
      <w:pPr>
        <w:spacing w:after="0" w:line="29"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i w:val="1"/>
          <w:iCs w:val="1"/>
          <w:color w:val="auto"/>
        </w:rPr>
        <w:t>and Backup 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 FATCA</w:t>
      </w:r>
      <w:r>
        <w:rPr>
          <w:rFonts w:ascii="Times New Roman" w:cs="Times New Roman" w:eastAsia="Times New Roman" w:hAnsi="Times New Roman"/>
          <w:sz w:val="18"/>
          <w:szCs w:val="18"/>
          <w:color w:val="auto"/>
        </w:rPr>
        <w:t>,” you generally will not be subject to U.S. federal income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in respect of any gain on a sale, exchange or other taxable disposition of our common stock unless:</w:t>
      </w:r>
    </w:p>
    <w:p>
      <w:pPr>
        <w:spacing w:after="0" w:line="76" w:lineRule="exact"/>
        <w:rPr>
          <w:sz w:val="20"/>
          <w:szCs w:val="20"/>
          <w:color w:val="auto"/>
        </w:rPr>
      </w:pPr>
    </w:p>
    <w:p>
      <w:pPr>
        <w:ind w:left="1800" w:right="6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gain is effectively connected with your conduct of a U.S. trade or business, in which case, such gain will be taxed as described in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40"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income tax treaty) on the amount by which certain capital gains allocable to U.S. sources exceed certain capital losses allocable to U.S. sources (provided that you have timely filed U.S. federal income tax returns with respect to such losses; or</w:t>
      </w:r>
    </w:p>
    <w:p>
      <w:pPr>
        <w:spacing w:after="0" w:line="282" w:lineRule="exact"/>
        <w:rPr>
          <w:rFonts w:ascii="Times New Roman" w:cs="Times New Roman" w:eastAsia="Times New Roman" w:hAnsi="Times New Roman"/>
          <w:sz w:val="18"/>
          <w:szCs w:val="18"/>
          <w:color w:val="auto"/>
        </w:rPr>
      </w:pPr>
    </w:p>
    <w:p>
      <w:pPr>
        <w:ind w:left="1800" w:right="619" w:hanging="180"/>
        <w:spacing w:after="0" w:line="258"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or have been a “United States real property holding corporation” (a​ “USRPHC”) as defined under 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as described in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116"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general, a corporation is a USRPHC if the fair market value of its “United States real property interests” equals or exceeds 50% of the sum of the fair market value of its worldwide real property interests and its other assets used or held for use in a trade or business. If we are determined to be a USRPHC, gain on a sale, exchange or other taxable disposition of our common stock will not be subject to tax as U.S. trade or business income if your holdings (direct and indirect, taking into account certain constructive ownership rules) at all times during the applicable period described in the third bullet point above constituted 5% or less of our common stock, provided that our common stock was regularly traded on an established securities market during such period. We believe that we are not currently, and we do not anticipate becoming in the future, a USRPHC.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Trade or Business Income</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For purposes of this discussion, dividend income and gain on the sale, exchange or other taxable disposition of our common stock will be considered to be “U.S. trade or business income” if (A)(i) such income or gain is effectively connected with your conduct of a trade or business within the United States and (ii) if you are eligible for the benefits of an income tax treaty with the United States and such treaty requires, such income or gain is attributable to a permanent establishment (or, if you are an individual, a fixed base) that you maintain in the United States or (B) with respect to gain, we are or have been a USRPHC at any time during the shorter of the five-year period ending on the date of the disposition of our common stock and your holding period for our common stock (subject to the 5% ownership exception set forth above in the second paragraph of “— </w:t>
      </w:r>
      <w:r>
        <w:rPr>
          <w:rFonts w:ascii="Times New Roman" w:cs="Times New Roman" w:eastAsia="Times New Roman" w:hAnsi="Times New Roman"/>
          <w:sz w:val="18"/>
          <w:szCs w:val="18"/>
          <w:i w:val="1"/>
          <w:iCs w:val="1"/>
          <w:color w:val="auto"/>
        </w:rPr>
        <w:t>Sale, Exchange or Other Taxable Disposition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Generally, U.S. trade or business income is not subject to U.S. federal withholding tax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you comply with applicable certification and disclosure requirements, including providing a properly executed IRS Form W-8ECI (or other applicable form or an appropriate successor form)); instead, you are subject to U.S. federal income tax on a net basis at regular U.S. federal income tax rates (generally in the same manner as a U.S. person) on your U.S. trade or business income. If you are a corporation, any U.S. trade or business income that you receive may also be subject to a “branch profits tax” at a 30% rate, or at a lower rate prescribed by an applicable income tax treaty.</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must annually report to the IRS and to each Non -U.S.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Form W-8BEN-E (or, in each case, an appropriate successor form) or otherwise establish an exemption and the applicable withholding agent does not have actual knowledge or reason to know that you are a U.S. person or that the conditions of such other exemption are not, in fact, satisfied.</w:t>
      </w:r>
    </w:p>
    <w:p>
      <w:pPr>
        <w:spacing w:after="0" w:line="10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payment of the proceeds from the disposition of our common stock to or through the U.S. office of any broker (U.S. or non -U.S.) will be subject to information reporting and possible backup withholding unless you certify as to your non-U.S. status under penalties of perjury or otherwise establish an exemption and the broker does not have actual knowledge or reason to know that you are a U.S. person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U.S. person or a U.S. related financial intermediary, the Treasury regulations require information reporting (but not backup withholding) on the payment unless the broker has documentary evidence in its files that the owner is not a U.S. person and the broker has no knowledge to the contrary. You are urged to consult your tax advisor on the application of information reporting and backup withholding in light of your particular circumstances.</w:t>
      </w:r>
    </w:p>
    <w:p>
      <w:pPr>
        <w:spacing w:after="0" w:line="12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you will be refunded or credited against your U.S. federal income tax liability, if any, provided that the required information is timely furnished to the IRS.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Pursuant to Section 1471 through 1474 of the Code, commonly referred to as the Foreign Account Tax Compliance Act (“FATCA”), foreign financial institutions (which include most foreign hedge funds, private equity funds, mutual funds, securitization vehicles and any other investment vehicles) and certain other foreign entities that do not otherwise qualify for an exemption must comply with information reporting rules with respect to their U.S. account holders and investors or be subject to a withholding tax on U.S. source payments made to them (whether received as a beneficial owner or as an intermediary for another party).</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More specifically, a foreign financial institution or other foreign entity that does not comply with the FATCA reporting requirements or otherwise qualify for an exemption will generally be subject to a 30% withholding tax with respect to any “withholdable payments.” For this purpose, withholdable payments generally include U.S.-source payments otherwise subject to nonresident withholding tax (e.g., U.S.-source dividends). Foreign financial institutions located in jurisdictions that have an intergovernmental agreement with the United States governing FATCA may be subject to different rules.</w:t>
      </w:r>
    </w:p>
    <w:p>
      <w:pPr>
        <w:spacing w:after="0" w:line="120"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FATCA currently applies to dividends made in respect of our common stock. Pursuant to proposed Treasury regulations, FATCA withholding would not apply to gross proceeds from dispositions of U.S. common stock. Taxpayers may generally rely on those proposed regulations until final regulations are issued. To avoid withholding on dividends, Non-U.S. Holders may be required to provide the Company (or its withholding agents) with applicable tax forms or other information. Non-U.S. Holders are urged to consult with their own tax advisors regarding the effect, if any, of the FATCA provisions to them based on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UNDERWRITING (CONFLICT OF INTEREST)</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Barclays Capital Inc. is acting as the representative of the underwriters and the sole book-running manager of this offering. Under the terms of an underwriting agreement, each of the underwriters named below has severally agreed to purchase from the selling stockholder the respective number of shares of common stock shown opposite its name below, which includes the shares subject to the Concurrent Share Repurchase,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 To the extent that only one underwriter is listed below, all references to the representative and the underwriters shall refer to just Barclays Capital Inc.</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8"/>
              </w:rPr>
              <w:t>Number of</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460" w:type="dxa"/>
            <w:vAlign w:val="bottom"/>
          </w:tcPr>
          <w:p>
            <w:pPr>
              <w:spacing w:after="0"/>
              <w:rPr>
                <w:sz w:val="18"/>
                <w:szCs w:val="18"/>
                <w:color w:val="auto"/>
              </w:rPr>
            </w:pPr>
          </w:p>
        </w:tc>
        <w:tc>
          <w:tcPr>
            <w:tcW w:w="100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Shares  </w:t>
            </w:r>
            <w:r>
              <w:rPr>
                <w:rFonts w:ascii="Times New Roman" w:cs="Times New Roman" w:eastAsia="Times New Roman" w:hAnsi="Times New Roman"/>
                <w:sz w:val="24"/>
                <w:szCs w:val="24"/>
                <w:b w:val="1"/>
                <w:bCs w:val="1"/>
                <w:color w:val="auto"/>
                <w:vertAlign w:val="subscript"/>
              </w:rPr>
              <w:t>​</w:t>
            </w:r>
          </w:p>
        </w:tc>
      </w:tr>
      <w:tr>
        <w:trPr>
          <w:trHeight w:val="20"/>
        </w:trPr>
        <w:tc>
          <w:tcPr>
            <w:tcW w:w="406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4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​5,250,000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6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Pr>
          <w:p>
            <w:pPr>
              <w:spacing w:after="0"/>
              <w:rPr>
                <w:sz w:val="22"/>
                <w:szCs w:val="22"/>
                <w:color w:val="auto"/>
              </w:rPr>
            </w:pPr>
          </w:p>
        </w:tc>
        <w:tc>
          <w:tcPr>
            <w:tcW w:w="100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​5,250,000</w:t>
            </w:r>
            <w:r>
              <w:rPr>
                <w:rFonts w:ascii="Times New Roman" w:cs="Times New Roman" w:eastAsia="Times New Roman" w:hAnsi="Times New Roman"/>
                <w:sz w:val="28"/>
                <w:szCs w:val="28"/>
                <w:color w:val="auto"/>
                <w:vertAlign w:val="subscript"/>
              </w:rPr>
              <w:t>​</w:t>
            </w:r>
          </w:p>
        </w:tc>
      </w:tr>
      <w:tr>
        <w:trPr>
          <w:trHeight w:val="21"/>
        </w:trPr>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-393700</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599" w:firstLine="360"/>
        <w:spacing w:after="0" w:line="264" w:lineRule="auto"/>
        <w:rPr>
          <w:sz w:val="20"/>
          <w:szCs w:val="20"/>
          <w:color w:val="auto"/>
        </w:rPr>
      </w:pPr>
      <w:r>
        <w:rPr>
          <w:rFonts w:ascii="Times New Roman" w:cs="Times New Roman" w:eastAsia="Times New Roman" w:hAnsi="Times New Roman"/>
          <w:sz w:val="18"/>
          <w:szCs w:val="18"/>
          <w:color w:val="auto"/>
        </w:rPr>
        <w:t>The underwriting agreement provides that the underwriters’ obligation to purchase shares of common stock depends on the satisfaction of the certain conditions contained in the underwriting agreement including:</w:t>
      </w:r>
    </w:p>
    <w:p>
      <w:pPr>
        <w:spacing w:after="0" w:line="274" w:lineRule="exact"/>
        <w:rPr>
          <w:sz w:val="20"/>
          <w:szCs w:val="20"/>
          <w:color w:val="auto"/>
        </w:rPr>
      </w:pPr>
    </w:p>
    <w:p>
      <w:pPr>
        <w:ind w:left="1800" w:right="45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purchase all of the shares of common stock offered hereby (other than those shares of common stock covered by their option to purchase additional shares as described below), if any of the shares are purchased;</w:t>
      </w:r>
    </w:p>
    <w:p>
      <w:pPr>
        <w:spacing w:after="0" w:line="40"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us and the selling stockholder to the underwriters are true;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change in our business or the financial markets; and</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closing documents are delivered to the underwriters.</w:t>
      </w:r>
    </w:p>
    <w:p>
      <w:pPr>
        <w:spacing w:after="0" w:line="158" w:lineRule="exact"/>
        <w:rPr>
          <w:sz w:val="20"/>
          <w:szCs w:val="20"/>
          <w:color w:val="auto"/>
        </w:rPr>
      </w:pPr>
    </w:p>
    <w:p>
      <w:pPr>
        <w:ind w:left="1260" w:right="659" w:firstLine="360"/>
        <w:spacing w:after="0" w:line="253" w:lineRule="auto"/>
        <w:rPr>
          <w:sz w:val="20"/>
          <w:szCs w:val="20"/>
          <w:color w:val="auto"/>
        </w:rPr>
      </w:pPr>
      <w:r>
        <w:rPr>
          <w:rFonts w:ascii="Times New Roman" w:cs="Times New Roman" w:eastAsia="Times New Roman" w:hAnsi="Times New Roman"/>
          <w:sz w:val="18"/>
          <w:szCs w:val="18"/>
          <w:color w:val="auto"/>
        </w:rPr>
        <w:t>We intend to purchase from the underwriters 750,000 of the shares of common stock at a price per share equal to the price at which the underwriters will purchase the shares from the selling stockholder in</w:t>
      </w:r>
    </w:p>
    <w:p>
      <w:pPr>
        <w:ind w:left="1260"/>
        <w:spacing w:after="0"/>
        <w:rPr>
          <w:sz w:val="20"/>
          <w:szCs w:val="20"/>
          <w:color w:val="auto"/>
        </w:rPr>
      </w:pPr>
      <w:r>
        <w:rPr>
          <w:rFonts w:ascii="Times New Roman" w:cs="Times New Roman" w:eastAsia="Times New Roman" w:hAnsi="Times New Roman"/>
          <w:sz w:val="18"/>
          <w:szCs w:val="18"/>
          <w:color w:val="auto"/>
        </w:rPr>
        <w:t>this offering.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Commissions and Expenses</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expenses of the offering that are payable by us are estimated to be approximately $0.6 million (excluding underwriting discounts and commissions).</w:t>
      </w:r>
    </w:p>
    <w:p>
      <w:pPr>
        <w:spacing w:after="0" w:line="95"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offered hereby, not subject to the Concurrent Share Repurchase from time to time for sale in one or more transactions on Nasdaq, in the over-the-counter market, through negotiated transactions or otherwise at market prices prevailing at the time of sale, subject to receipt and acceptance by them and subject to their right to reject any order in whole or in part. The underwriters may effect such transactions by selling the shares of common stock to or through dealers and such dealers may receive compensation in the form of discounts, concessions or commissions from the underwriters and/or purchasers of shares of common stock for whom they may act as agents or to whom they may sell as principal. The difference between the price at which the underwriters purchase shares of common stock and the price at which the underwriters resell such shares may be deemed underwriting compensation.</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selling stockholder has granted the underwriters an option exercisable for 30 days after the date of this prospectus supplement to purchase, from time to time, in whole or in part, up to an aggregate of</w:t>
      </w:r>
    </w:p>
    <w:p>
      <w:pPr>
        <w:spacing w:after="0" w:line="1"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787,500 shares from the selling stockholder. To the extent that this option is exercised, each underwriter will be obligated, subject to certain conditions, to purchase its pro rata portion of these additional shares based on the underwriter’s percentage underwriting commitment in this offering as indicated in the above table.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the selling stockholder and all of our directors and executive officers have agreed that, for a period of 60 days after the date of this prospectus, we and they will not, without the prior written consent of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underwriters, dispose of any shares of common stock or any securities convertible into or exchangeable for our common stock, subject to certain exceptions.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lock-up agreement applicable to the Company is subject to certain specified exceptions, including:</w:t>
      </w:r>
    </w:p>
    <w:p>
      <w:pPr>
        <w:spacing w:after="0" w:line="27" w:lineRule="exact"/>
        <w:rPr>
          <w:sz w:val="20"/>
          <w:szCs w:val="20"/>
          <w:color w:val="auto"/>
        </w:rPr>
      </w:pPr>
    </w:p>
    <w:p>
      <w:pPr>
        <w:ind w:left="1260" w:right="419"/>
        <w:spacing w:after="0" w:line="250" w:lineRule="auto"/>
        <w:tabs>
          <w:tab w:leader="none" w:pos="14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common stock, options to purchase shares of common stock, restricted stock units and other equity incentive compensation pursuant to equity plans or similar plans described in this prospectus, common stock issued upon exercise of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 any issuances of common stock upon the conversion or exchange of convertible or exchangeable securities outstanding as of the date of this prospectus, including common stock issued upon the exercise of any warrants and any transfer of common stock to the Company upon a “net” or “cashless” exercise of any warrants; and (iii) issuances by the Company of common stock or securities convertible into shares of common stock in connection with an acquisition or business combination, provided that the aggregate number of shares of common stock issued pursuant to this clause</w:t>
      </w:r>
    </w:p>
    <w:p>
      <w:pPr>
        <w:spacing w:after="0" w:line="4" w:lineRule="exact"/>
        <w:rPr>
          <w:rFonts w:ascii="Times New Roman" w:cs="Times New Roman" w:eastAsia="Times New Roman" w:hAnsi="Times New Roman"/>
          <w:sz w:val="18"/>
          <w:szCs w:val="18"/>
          <w:color w:val="auto"/>
        </w:rPr>
      </w:pPr>
    </w:p>
    <w:p>
      <w:pPr>
        <w:ind w:left="1260" w:right="579"/>
        <w:spacing w:after="0" w:line="255" w:lineRule="auto"/>
        <w:tabs>
          <w:tab w:leader="none" w:pos="15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shall not exceed 5% of the total number of shares of common stock issued and outstanding on the closing date of this offering and provided further that, in the case of any issuance pursuant to (iii), the transferee or distributee agrees in writing to be bound by the lock-up restrictions.</w:t>
      </w:r>
    </w:p>
    <w:p>
      <w:pPr>
        <w:spacing w:after="0" w:line="118"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lock-up agreements applicable to the selling stockholder and all of our directors and executive officers are subject to specified exceptions, including: (i) bona fide gifts; (ii) transfers to any trust for the direct or indirect benefit of the lock-up party or the immediate family of the lockup party; (iii) transfers by will or intestacy; (iv) transfers to a partnership, limited liability company or other entity in which the lock-up party and the immediate family of the lock-up party are the legal and beneficial owner of all the outstanding equity securities or similar interests; (v) transfers by operation of law, such as pursuant to a qualified domestic order or in connection with a divorce settlement; (vi) open market transactions after the completion of the offering or transfers to the underwriters of this offering; (vii) (A) the exercise of warrants issued by the Company and transfer to the Company upon the “net” or “cashless” exercise of warrants issued by the Company; (B) the exercise of stock options solely with cash granted pursuant to equity incentive plans described in this prospectus, and the receipt by the lock-up signatory from the Company of shares of common stock upon such exercise; (C) transfers to the Company upon the “net” or “cashless” exercise of stock options or other equity awards granted pursuant to equity incentive plans; (D) transfers for the primary purpose of satisfying any tax or other governmental withholding obligation with respect to any award of equity-based compensation granted pursuant to our equity incentive plans described in the prospectus; or (E) forfeitures to the Company to satisfy tax withholding requirements of the lock-up party or the Company upon the vesting, during the restricted period, of equity based awards granted under equity incentive plans or pursuant to other stock purchase arrangements, in each cased described in this prospectus;</w:t>
      </w:r>
    </w:p>
    <w:p>
      <w:pPr>
        <w:spacing w:after="0" w:line="10" w:lineRule="exact"/>
        <w:rPr>
          <w:sz w:val="20"/>
          <w:szCs w:val="20"/>
          <w:color w:val="auto"/>
        </w:rPr>
      </w:pPr>
    </w:p>
    <w:p>
      <w:pPr>
        <w:ind w:left="1260" w:right="439"/>
        <w:spacing w:after="0" w:line="251" w:lineRule="auto"/>
        <w:tabs>
          <w:tab w:leader="none" w:pos="16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bona fide third-party tender offer, merger, consolidation or other similar transaction made to all holders of our common stock; (ix) transfers to the Company in connection with the repurchase by the Company of shares of common stock or other securities pursuant to a repurchase right arising upon the termination of a lock-up signatory’s employment with the Company; (x) the establishment of a trading plan pursuant to Rule 10b5-1 of the Exchange Act or transfers pursuant to an existing 10b5-1 trading plan, provided that no such transfers shall be made prior to the closing date of the offering; (xi) if the holder is a corporation, partnership or limited liability company, (A) distributions to partners, limited liability company members, stockholder or holders of similar interests or (B) transfers to affiliates (as defined in Rule 405 of the Securities Act); (xii) transfers to any third-party pledgee in a bona fide transaction as collateral to secure obligations pursuant to lending or other similar arrangement relating to a financing arrangement between such third parties (or their affiliates or designees) and the lock-up party and/or its affiliates; (xiii) transfers pursuant to a bona fide loan or pledge and as a grant or maintenance of a bona fide lien, security interest, pledge or other similar encumbrance in connection with a loan to the lock-up party, including those that are in effect on the date of such agreement and has been disclosed to the representative, subject to certain restrictions; and (xiv) transfers to the lock-up party’s employer or any affiliate of the lock-up party’s employer as compensation in his or her capacity as a member of the Company’s board of directors; provided that, in the case of any transfer or distribution pursuant to (i) through (v), (vii), (xi) and (xiv), the transferee or distributee agrees in writing to be bound by the lockup restrictions.</w:t>
      </w: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The representative, in its sole discretion, may release our common stock and other securities subject to the lock-up agreements described above in whole or in part at any time, subject to applicable notice requirements.</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We and the selling stockholder have agreed to indemnify the underwriters against certain liabilities, including liabilities under the Securities Act, and to contribute to payments that the underwriters may be required to make for these liabilities.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representative may engage in stabilizing transactions, short sales and purchases to cover positions created by short sales, and penalty bids or purchases for the purpose of pegging, fixing or maintaining the price of the common stock, in accordance with Regulation M under the Exchange Act:</w:t>
      </w:r>
    </w:p>
    <w:p>
      <w:pPr>
        <w:spacing w:after="0" w:line="69" w:lineRule="exact"/>
        <w:rPr>
          <w:sz w:val="20"/>
          <w:szCs w:val="20"/>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53" w:lineRule="exact"/>
        <w:rPr>
          <w:rFonts w:ascii="Times New Roman" w:cs="Times New Roman" w:eastAsia="Times New Roman" w:hAnsi="Times New Roman"/>
          <w:sz w:val="18"/>
          <w:szCs w:val="18"/>
          <w:color w:val="auto"/>
        </w:rPr>
      </w:pPr>
    </w:p>
    <w:p>
      <w:pPr>
        <w:ind w:left="1800" w:right="479" w:hanging="180"/>
        <w:spacing w:after="0" w:line="25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position involves a sale by the underwriters of shares in excess of the number of shares the underwriters are obligated to purchase in this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if any. In a naked short position, the number of shares involved is greater than the number of shares in their option to purchase additional shares, if any. The underwriters may close out any short position by either exercising their option to purchase additional shares, if any, in whole or in part,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if any.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74"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stock in the open market after the distribution has been completed in order to cover syndicate short positions.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108"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Nasdaq or otherwise and, if commenced, may be discontinued at any time.</w:t>
      </w:r>
    </w:p>
    <w:p>
      <w:pPr>
        <w:spacing w:after="0" w:line="114"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any representation that the representative will engage in these stabilizing transactions or that any transaction, once commenced, will not be discontinued without notice.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offering, underwriters and selling group members may engage in passive market making transactions in the common stock on The Nasdaq Global Select Market in accordance with Rule 103 of Regulation M under the Exchange Act during the period before the commencement of offers or sales of common stock and extending through the completion of distribution. A passive market maker must display</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59"/>
        <w:spacing w:after="0" w:line="258" w:lineRule="auto"/>
        <w:rPr>
          <w:sz w:val="20"/>
          <w:szCs w:val="20"/>
          <w:color w:val="auto"/>
        </w:rPr>
      </w:pPr>
      <w:r>
        <w:rPr>
          <w:rFonts w:ascii="Times New Roman" w:cs="Times New Roman" w:eastAsia="Times New Roman" w:hAnsi="Times New Roman"/>
          <w:sz w:val="18"/>
          <w:szCs w:val="18"/>
          <w:color w:val="auto"/>
        </w:rPr>
        <w:t>its bids at a price not in excess of the highest independent bid of the security. However, if all independent bids are lowered below the passive market maker’s bid that bid must be lowered when specified purchase limits are exceeded.</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 on the same basis as other allocations.</w:t>
      </w:r>
    </w:p>
    <w:p>
      <w:pPr>
        <w:spacing w:after="0" w:line="11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Other than the prospectus in electronic format, the information on any underwriter’s or selling group member’s website and any information contained in any other website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 on the Nasdaq</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Nasdaq under the symbol “SNCY”.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Stamp Taxes</w:t>
      </w:r>
    </w:p>
    <w:p>
      <w:pPr>
        <w:spacing w:after="0" w:line="162"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you purchase shares of common stock offered in this prospectus supplement, you may be required to pay stamp taxes and other charges under the laws and practices of the country of purchase, in addition to the offering price listed on the cover page of this prospectus supplement.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investment banking and financial advisory services for the Company and its affiliates, for which they may in the future receive customary fees and expenses. In February 2021, the Company executed a five-year credit agreement with a group of lenders that provides for a $25.0 million revolving credit facility and a $90.0 million delayed draw term loan facility (collectively, the “Credit Facilities”). Barclays Bank PLC, the administrative agent, the collateral agent, a lender and a joint lead arranger under the Credit Facilities, is an affiliate of Barclays Capital Inc., the underwriter in this offering.</w:t>
      </w:r>
    </w:p>
    <w:p>
      <w:pPr>
        <w:spacing w:after="0" w:line="12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and/or instruments of the Company or its affiliates. The underwriters and certain of their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Conflict of Interest</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AGS has a “conflict of interest” within the meaning of FINRA Rule 5121 in any offering of our securities in which it participates because AGS is affiliated with the selling stockholder, who is in turn our affiliate, and because the net proceeds received from the sale of the securities will be received by the selling</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stockholder. The offer and sale of the securities by AGS will comply with the requirements of FINRA Rule 5121 regarding a FINRA member firm’s participation in a public offering of securities of an affiliate. In accordance with FINRA Rule 5121, neither AGS nor any other affiliated underwriter, agent or dealer of may sell the securities to any of its discretionary accounts without the specific written approval of the customer.</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3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284"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75"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26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provided that no such offer of shares shall require the Company or any of the underwriters to publish a prospectus pursuant to Article 3 of the Prospectus Regulation or supplement a prospectus pursuant to Article 23 of the Prospectus Regulation.</w:t>
      </w:r>
    </w:p>
    <w:p>
      <w:pPr>
        <w:spacing w:after="0" w:line="10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In relation to the United Kingdom, no shares have been offered or will be offered pursuant to the offering to the public in the United Kingdom prior to the publication of a prospectus in relation to the shares which has been approved by the Financial Conduct Authority, except that it may make an offer to the public in the United Kingdom of any shares at any time under the following exemptions under the UK Prospectus Regulation:</w:t>
      </w:r>
    </w:p>
    <w:p>
      <w:pPr>
        <w:spacing w:after="0" w:line="282" w:lineRule="exact"/>
        <w:rPr>
          <w:sz w:val="20"/>
          <w:szCs w:val="20"/>
          <w:color w:val="auto"/>
        </w:rPr>
      </w:pPr>
    </w:p>
    <w:p>
      <w:pPr>
        <w:ind w:left="1800" w:right="85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40"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in any other circumstances falling within Section 86 of the FSMA,</w:t>
      </w:r>
    </w:p>
    <w:p>
      <w:pPr>
        <w:spacing w:after="0" w:line="158" w:lineRule="exact"/>
        <w:rPr>
          <w:sz w:val="20"/>
          <w:szCs w:val="20"/>
          <w:color w:val="auto"/>
        </w:rPr>
      </w:pPr>
    </w:p>
    <w:p>
      <w:pPr>
        <w:ind w:left="1260" w:right="499" w:firstLine="360"/>
        <w:spacing w:after="0" w:line="274"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Company or any of the underwriters to publish a prospectus pursuant to Section 85 of the FSMA or supplement a prospectus pursuant to Article 23 of the UK Prospectus Regulation.</w:t>
      </w:r>
    </w:p>
    <w:p>
      <w:pPr>
        <w:spacing w:after="0" w:line="115"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22" w:lineRule="exact"/>
        <w:rPr>
          <w:sz w:val="20"/>
          <w:szCs w:val="20"/>
          <w:color w:val="auto"/>
        </w:rPr>
      </w:pPr>
    </w:p>
    <w:p>
      <w:pPr>
        <w:ind w:left="1260" w:right="539" w:firstLine="360"/>
        <w:spacing w:after="0" w:line="264"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2"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6"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Shares of our common stock may not be offered or sold by means of any document other than (i) in circumstances which do not constitute an offer to the public within the meaning of the Companies Ordinance (Cap. 32, Laws of HongKong),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 common stock which are or are intended to be disposed of only to persons outside Hong Kong or only to “professional investors” within the meaning of the Securities and Futures Ordinance (Cap. 571, Laws of Hong Kong) and any rules made thereunder.</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 Where shares of our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securities or securities-based derivatives contracts (each as defined in Section 2(1) of the SFA) of that corporation or the beneficiaries’ rights and interest in that trust shall not be transferable within six months after that corporation or that trust has acquired shares of our common stock under Section 275 of the SFA except: (1) to an institutional investor or to a relevant person, or to any person pursuant to Section 275(1A), and in accordance with the conditions, specified in Section 275 of the SFA;</w:t>
      </w:r>
    </w:p>
    <w:p>
      <w:pPr>
        <w:spacing w:after="0" w:line="10" w:lineRule="exact"/>
        <w:rPr>
          <w:sz w:val="20"/>
          <w:szCs w:val="20"/>
          <w:color w:val="auto"/>
        </w:rPr>
      </w:pPr>
    </w:p>
    <w:p>
      <w:pPr>
        <w:ind w:left="1260" w:right="439"/>
        <w:spacing w:after="0" w:line="252" w:lineRule="auto"/>
        <w:tabs>
          <w:tab w:leader="none" w:pos="15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given for the transfer; or (3) where the transfer is by operation of law. 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 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For Qualified Institutional Investors (“QII”)</w:t>
      </w:r>
    </w:p>
    <w:p>
      <w:pPr>
        <w:spacing w:after="0" w:line="148"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“QII only private placement” or a “QII only secondary distribution”(each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4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For Non-QII Investors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shares offered by this prospectus supplement will be passed upon for us by Paul, Weiss, Rifkind, Wharton &amp; Garrison LLP, New York, New York. Davis Polk &amp; Wardwell LLP, New York, New York, acted as counsel for the underwriter.</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Sun Country Airlines Holdings, Inc. as of December 31, 2022 and 2021, and for each of the years in the three-year period ended December 31, 2022,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448310</wp:posOffset>
            </wp:positionV>
            <wp:extent cx="2228850" cy="282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22885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Sun Country Airlines Holdings, Inc.</w:t>
      </w:r>
    </w:p>
    <w:p>
      <w:pPr>
        <w:spacing w:after="0" w:line="1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34,352,603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selling stockholders named in this prospectus may sell, from time to time, up to 34,352,603 shares of our common stock, including 9,482,606 shares of our common stock issuable upon exercise of outstanding warrants. The selling stockholders may offer for sale the shares of common stock covered by this prospectus directly to purchasers or through underwriters, broker or dealers or agents, in public or private transactions, at fixed prices, prevailing market prices at the times of sale, prices related to the prevailing market prices, varying prices determined at the times of sale or negotiated prices. Information on the selling stockholders and the times and manners in which they may offer and sell shares of our common stock is described under the sections entitled “Selling Stockholders” and “Plan of Distribution” in this prospectus. Our registration of the shares of common stock covered by this prospectus does not mean the selling stockholders will offer or sell any of the shares.</w:t>
      </w:r>
    </w:p>
    <w:p>
      <w:pPr>
        <w:spacing w:after="0" w:line="127"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shares of our common stock by the selling stockholders. We have agreed to pay all expenses relating to registering the shares of common stock. The selling stockholders will pay any underwriting discounts and commissions, brokerage commissions and/or similar charges incurred for the sale of these shares of common stock.</w:t>
      </w:r>
    </w:p>
    <w:p>
      <w:pPr>
        <w:spacing w:after="0" w:line="99"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common stock of Sun Country Airlines Holdings, Inc. is listed on the Nasdaq Global Select Market (“Nasdaq”) under the symbol “SNCY.”</w:t>
      </w:r>
    </w:p>
    <w:p>
      <w:pPr>
        <w:spacing w:after="0" w:line="9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and are eligible for reduced public company reporting requirements.</w:t>
      </w:r>
    </w:p>
    <w:p>
      <w:pPr>
        <w:spacing w:after="0" w:line="90"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risks that are referenced under the heading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on page </w:t>
      </w:r>
      <w:r>
        <w:rPr>
          <w:rFonts w:ascii="Times New Roman" w:cs="Times New Roman" w:eastAsia="Times New Roman" w:hAnsi="Times New Roman"/>
          <w:sz w:val="17"/>
          <w:szCs w:val="17"/>
          <w:b w:val="1"/>
          <w:bCs w:val="1"/>
          <w:u w:val="single" w:color="auto"/>
          <w:color w:val="0000EE"/>
        </w:rPr>
        <w:t>4</w:t>
      </w:r>
      <w:r>
        <w:rPr>
          <w:rFonts w:ascii="Times New Roman" w:cs="Times New Roman" w:eastAsia="Times New Roman" w:hAnsi="Times New Roman"/>
          <w:sz w:val="17"/>
          <w:szCs w:val="17"/>
          <w:b w:val="1"/>
          <w:bCs w:val="1"/>
          <w:color w:val="auto"/>
        </w:rPr>
        <w:t xml:space="preserve"> of this prospectus. You should carefully review the risks and uncertainties described under the heading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contained in the applicable prospectus supplement and any related free writing prospectus and under similar headings in the documents that are incorporated by reference in this prospectus.</w:t>
      </w:r>
    </w:p>
    <w:p>
      <w:pPr>
        <w:spacing w:after="0" w:line="80" w:lineRule="exact"/>
        <w:rPr>
          <w:sz w:val="20"/>
          <w:szCs w:val="20"/>
          <w:color w:val="auto"/>
        </w:rPr>
      </w:pPr>
    </w:p>
    <w:p>
      <w:pPr>
        <w:ind w:left="126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199390</wp:posOffset>
            </wp:positionV>
            <wp:extent cx="12344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Overview</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To understand the terms of the securities offered by this prospectus, you should carefully read this prospectus and any applicable prospectus supplement. You should also read the documents referred to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regarding us and the business conducted by us.    Certain capitalized terms used in this prospectus are defined elsewhere in this prospectus.</w:t>
      </w:r>
    </w:p>
    <w:p>
      <w:pPr>
        <w:spacing w:after="0" w:line="335"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Sun Country Airlines Holdings, Inc., a Delaware corporation, which is also referred to as “Sun Country,” “Sun Country Airlines,” “the Company,” “we,” “us,” and “our,” has filed with the U.S. Securities and Exchange Commission, or the SEC, using a “shelf” registration process. Under this process, the selling stockholders named herein may offer and sell, from time to time in one or more offerings, up to an aggregate of 34,352,603 shares of our common stock, including 9,482,606 shares of our common stock issuable upon exercise of outstanding warrants.</w:t>
      </w:r>
    </w:p>
    <w:p>
      <w:pPr>
        <w:spacing w:after="0" w:line="10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common stock that the selling stockholders may offer. Each time the selling stockholders offer and sell shares of common stock, such selling stockholders may provide you with a prospectus supplement that will describe the specific amounts, prices and terms of the common stock being offered. The prospectus supplement may also add, update or change information contained or incorporated by reference in this prospectus. If there is any inconsistency between the information in this prospectus and any prospectus supplement, you should rely on the information in the prospectus supplement.</w:t>
      </w:r>
    </w:p>
    <w:p>
      <w:pPr>
        <w:spacing w:after="0" w:line="336"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may also contain information about any material U.S. federal income tax considerations relating to the securities covered by the prospectus supplement.</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selling stockholders may sell our common stock to underwriters who will sell the common stock to the public on terms fixed at the time of sale or at variable prices. In addition, the common stock may be sold by the selling stockholders directly or through dealers or agents designated from time to time, which agents may be affiliates of ours. If the selling stockholders, directly or through agents, solicit offers to purchase the common stock, the selling stockholders and their agents reserve the sole right to accept and to reject, in whole or in part, any offer.</w:t>
      </w:r>
    </w:p>
    <w:p>
      <w:pPr>
        <w:spacing w:after="0" w:line="10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prospectus supplement will also contain, with respect to the securities being sold, the names of any underwriters, dealers or agents, together with the terms of the offering, the compensation of any underwriters, dealers or agents and the net proceeds to the selling stockholders.</w:t>
      </w:r>
    </w:p>
    <w:p>
      <w:pPr>
        <w:spacing w:after="0" w:line="108" w:lineRule="exact"/>
        <w:rPr>
          <w:sz w:val="20"/>
          <w:szCs w:val="20"/>
          <w:color w:val="auto"/>
        </w:rPr>
      </w:pPr>
    </w:p>
    <w:p>
      <w:pPr>
        <w:ind w:left="1260" w:right="519" w:firstLine="360"/>
        <w:spacing w:after="0" w:line="275" w:lineRule="auto"/>
        <w:rPr>
          <w:sz w:val="20"/>
          <w:szCs w:val="20"/>
          <w:color w:val="auto"/>
        </w:rPr>
      </w:pPr>
      <w:r>
        <w:rPr>
          <w:rFonts w:ascii="Times New Roman" w:cs="Times New Roman" w:eastAsia="Times New Roman" w:hAnsi="Times New Roman"/>
          <w:sz w:val="18"/>
          <w:szCs w:val="18"/>
          <w:color w:val="auto"/>
        </w:rPr>
        <w:t>Any underwriters, dealers or agents participating in the offering may be deemed “underwriters” within the meaning of the Securities Act of 1933, as amended, which we refer to in this prospectus as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In this prospectus, we “incorporate by reference” certain information that we file with the SEC, which means that we can disclose important information to you by referring you to that information. The information we incorporate by reference is an important part of this prospectus, and later information that we file with the SEC will automatically update and supersede this information. The following documents have been filed by us with the SEC and are incorporated by reference into this prospectus:</w:t>
      </w:r>
    </w:p>
    <w:p>
      <w:pPr>
        <w:spacing w:after="0" w:line="73" w:lineRule="exact"/>
        <w:rPr>
          <w:sz w:val="20"/>
          <w:szCs w:val="20"/>
          <w:color w:val="auto"/>
        </w:rPr>
      </w:pPr>
    </w:p>
    <w:p>
      <w:pPr>
        <w:ind w:left="1800" w:right="419" w:hanging="180"/>
        <w:spacing w:after="0" w:line="266" w:lineRule="auto"/>
        <w:tabs>
          <w:tab w:leader="none" w:pos="1800" w:val="left"/>
        </w:tabs>
        <w:numPr>
          <w:ilvl w:val="0"/>
          <w:numId w:val="19"/>
        </w:numPr>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our Annual Report on Form 10-K for the fiscal year ended December 31, 2021, filed with the SEC on</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February 18, 2022, and Amendment No. 1 thereto, filed with the SEC on February 22, 2022 (the</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“2021 Annual Report”);</w:t>
        </w:r>
      </w:hyperlink>
    </w:p>
    <w:p>
      <w:pPr>
        <w:spacing w:after="0" w:line="54" w:lineRule="exact"/>
        <w:rPr>
          <w:rFonts w:ascii="Times New Roman" w:cs="Times New Roman" w:eastAsia="Times New Roman" w:hAnsi="Times New Roman"/>
          <w:sz w:val="18"/>
          <w:szCs w:val="18"/>
          <w:u w:val="single" w:color="auto"/>
          <w:color w:val="0000EE"/>
        </w:rPr>
      </w:pPr>
    </w:p>
    <w:p>
      <w:pPr>
        <w:ind w:left="1800" w:right="579" w:hanging="180"/>
        <w:spacing w:after="0" w:line="282" w:lineRule="auto"/>
        <w:tabs>
          <w:tab w:leader="none" w:pos="1800" w:val="left"/>
        </w:tabs>
        <w:numPr>
          <w:ilvl w:val="0"/>
          <w:numId w:val="19"/>
        </w:numPr>
        <w:rPr>
          <w:rFonts w:ascii="Times New Roman" w:cs="Times New Roman" w:eastAsia="Times New Roman" w:hAnsi="Times New Roman"/>
          <w:sz w:val="18"/>
          <w:szCs w:val="18"/>
          <w:u w:val="single" w:color="auto"/>
          <w:color w:val="0000EE"/>
        </w:rPr>
      </w:pPr>
      <w:hyperlink r:id="rId86">
        <w:r>
          <w:rPr>
            <w:rFonts w:ascii="Times New Roman" w:cs="Times New Roman" w:eastAsia="Times New Roman" w:hAnsi="Times New Roman"/>
            <w:sz w:val="18"/>
            <w:szCs w:val="18"/>
            <w:u w:val="single" w:color="auto"/>
            <w:color w:val="0000EE"/>
          </w:rPr>
          <w:t>portions of our Definitive Proxy Statement on Schedule 14A, filed with the SEC on April 29, 2022,</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that are incorporated by reference into Part III of the 2021 Annual Report;</w:t>
        </w:r>
      </w:hyperlink>
    </w:p>
    <w:p>
      <w:pPr>
        <w:spacing w:after="0" w:line="53" w:lineRule="exact"/>
        <w:rPr>
          <w:rFonts w:ascii="Times New Roman" w:cs="Times New Roman" w:eastAsia="Times New Roman" w:hAnsi="Times New Roman"/>
          <w:sz w:val="18"/>
          <w:szCs w:val="18"/>
          <w:u w:val="single" w:color="auto"/>
          <w:color w:val="0000EE"/>
        </w:rPr>
      </w:pPr>
    </w:p>
    <w:p>
      <w:pPr>
        <w:ind w:left="1800" w:right="779" w:hanging="180"/>
        <w:spacing w:after="0" w:line="282" w:lineRule="auto"/>
        <w:tabs>
          <w:tab w:leader="none" w:pos="1800" w:val="left"/>
        </w:tabs>
        <w:numPr>
          <w:ilvl w:val="0"/>
          <w:numId w:val="19"/>
        </w:numPr>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our Quarterly Report on Form 10-Q for the quarter ended March 31, 2022, filed with the SEC on</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May 6, 2022;</w:t>
        </w:r>
      </w:hyperlink>
    </w:p>
    <w:p>
      <w:pPr>
        <w:spacing w:after="0" w:line="53" w:lineRule="exact"/>
        <w:rPr>
          <w:rFonts w:ascii="Times New Roman" w:cs="Times New Roman" w:eastAsia="Times New Roman" w:hAnsi="Times New Roman"/>
          <w:sz w:val="18"/>
          <w:szCs w:val="18"/>
          <w:u w:val="single" w:color="auto"/>
          <w:color w:val="0000EE"/>
        </w:rPr>
      </w:pPr>
    </w:p>
    <w:p>
      <w:pPr>
        <w:ind w:left="1800" w:right="919" w:hanging="180"/>
        <w:spacing w:after="0" w:line="282" w:lineRule="auto"/>
        <w:tabs>
          <w:tab w:leader="none" w:pos="1800" w:val="left"/>
        </w:tabs>
        <w:numPr>
          <w:ilvl w:val="0"/>
          <w:numId w:val="19"/>
        </w:numPr>
        <w:rPr>
          <w:rFonts w:ascii="Times New Roman" w:cs="Times New Roman" w:eastAsia="Times New Roman" w:hAnsi="Times New Roman"/>
          <w:sz w:val="18"/>
          <w:szCs w:val="18"/>
          <w:u w:val="single" w:color="auto"/>
          <w:color w:val="0000EE"/>
        </w:rPr>
      </w:pPr>
      <w:hyperlink r:id="rId88">
        <w:r>
          <w:rPr>
            <w:rFonts w:ascii="Times New Roman" w:cs="Times New Roman" w:eastAsia="Times New Roman" w:hAnsi="Times New Roman"/>
            <w:sz w:val="18"/>
            <w:szCs w:val="18"/>
            <w:u w:val="single" w:color="auto"/>
            <w:color w:val="0000EE"/>
          </w:rPr>
          <w:t>our Quarterly Report on Form 10-Q for the quarter ended June 30, 2022, filed with the SEC on</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August 10, 2022;</w:t>
        </w:r>
      </w:hyperlink>
    </w:p>
    <w:p>
      <w:pPr>
        <w:spacing w:after="0" w:line="40" w:lineRule="exact"/>
        <w:rPr>
          <w:rFonts w:ascii="Times New Roman" w:cs="Times New Roman" w:eastAsia="Times New Roman" w:hAnsi="Times New Roman"/>
          <w:sz w:val="18"/>
          <w:szCs w:val="18"/>
          <w:u w:val="single" w:color="auto"/>
          <w:color w:val="0000EE"/>
        </w:rPr>
      </w:pPr>
    </w:p>
    <w:p>
      <w:pPr>
        <w:ind w:left="1800" w:right="459" w:hanging="180"/>
        <w:spacing w:after="0" w:line="282" w:lineRule="auto"/>
        <w:tabs>
          <w:tab w:leader="none" w:pos="1800" w:val="left"/>
        </w:tabs>
        <w:numPr>
          <w:ilvl w:val="0"/>
          <w:numId w:val="19"/>
        </w:numPr>
        <w:rPr>
          <w:rFonts w:ascii="Times New Roman" w:cs="Times New Roman" w:eastAsia="Times New Roman" w:hAnsi="Times New Roman"/>
          <w:sz w:val="18"/>
          <w:szCs w:val="18"/>
          <w:u w:val="single" w:color="auto"/>
          <w:color w:val="0000EE"/>
        </w:rPr>
      </w:pPr>
      <w:hyperlink r:id="rId89">
        <w:r>
          <w:rPr>
            <w:rFonts w:ascii="Times New Roman" w:cs="Times New Roman" w:eastAsia="Times New Roman" w:hAnsi="Times New Roman"/>
            <w:sz w:val="18"/>
            <w:szCs w:val="18"/>
            <w:u w:val="single" w:color="auto"/>
            <w:color w:val="0000EE"/>
          </w:rPr>
          <w:t>our Quarterly Report on Form 10-Q for the quarter ended September 30, 2022, filed with the SEC on</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November 2, 2022;</w:t>
        </w:r>
      </w:hyperlink>
    </w:p>
    <w:p>
      <w:pPr>
        <w:spacing w:after="0" w:line="53" w:lineRule="exact"/>
        <w:rPr>
          <w:rFonts w:ascii="Times New Roman" w:cs="Times New Roman" w:eastAsia="Times New Roman" w:hAnsi="Times New Roman"/>
          <w:sz w:val="18"/>
          <w:szCs w:val="18"/>
          <w:u w:val="single" w:color="auto"/>
          <w:color w:val="0000EE"/>
        </w:rPr>
      </w:pPr>
    </w:p>
    <w:p>
      <w:pPr>
        <w:ind w:left="1800" w:right="499" w:hanging="180"/>
        <w:spacing w:after="0" w:line="258" w:lineRule="auto"/>
        <w:tabs>
          <w:tab w:leader="none" w:pos="1800" w:val="left"/>
        </w:tabs>
        <w:numPr>
          <w:ilvl w:val="0"/>
          <w:numId w:val="19"/>
        </w:numPr>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7, 2022 (second report)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5,</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1">
        <w:r>
          <w:rPr>
            <w:rFonts w:ascii="Times New Roman" w:cs="Times New Roman" w:eastAsia="Times New Roman" w:hAnsi="Times New Roman"/>
            <w:sz w:val="18"/>
            <w:szCs w:val="18"/>
            <w:u w:val="single" w:color="auto"/>
            <w:color w:val="0000EE"/>
          </w:rPr>
          <w:t xml:space="preserve">April 29, 2022 </w:t>
        </w:r>
      </w:hyperlink>
      <w:hyperlink r:id="rId90">
        <w:r>
          <w:rPr>
            <w:rFonts w:ascii="Times New Roman" w:cs="Times New Roman" w:eastAsia="Times New Roman" w:hAnsi="Times New Roman"/>
            <w:sz w:val="18"/>
            <w:szCs w:val="18"/>
            <w:color w:val="000000"/>
          </w:rPr>
          <w:t>(as amended by our Current Report on Form 8-K/A filed with the SEC on</w:t>
        </w:r>
      </w:hyperlink>
      <w:r>
        <w:rPr>
          <w:rFonts w:ascii="Times New Roman" w:cs="Times New Roman" w:eastAsia="Times New Roman" w:hAnsi="Times New Roman"/>
          <w:sz w:val="18"/>
          <w:szCs w:val="18"/>
          <w:color w:val="0000EE"/>
        </w:rPr>
        <w:t xml:space="preserve"> </w:t>
      </w:r>
      <w:hyperlink r:id="rId92">
        <w:r>
          <w:rPr>
            <w:rFonts w:ascii="Times New Roman" w:cs="Times New Roman" w:eastAsia="Times New Roman" w:hAnsi="Times New Roman"/>
            <w:sz w:val="18"/>
            <w:szCs w:val="18"/>
            <w:u w:val="single" w:color="auto"/>
            <w:color w:val="0000EE"/>
          </w:rPr>
          <w:t>May 6,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3">
        <w:r>
          <w:rPr>
            <w:rFonts w:ascii="Times New Roman" w:cs="Times New Roman" w:eastAsia="Times New Roman" w:hAnsi="Times New Roman"/>
            <w:sz w:val="18"/>
            <w:szCs w:val="18"/>
            <w:u w:val="single" w:color="auto"/>
            <w:color w:val="0000EE"/>
          </w:rPr>
          <w:t>June 10,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4">
        <w:r>
          <w:rPr>
            <w:rFonts w:ascii="Times New Roman" w:cs="Times New Roman" w:eastAsia="Times New Roman" w:hAnsi="Times New Roman"/>
            <w:sz w:val="18"/>
            <w:szCs w:val="18"/>
            <w:u w:val="single" w:color="auto"/>
            <w:color w:val="0000EE"/>
          </w:rPr>
          <w:t>June 17,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5">
        <w:r>
          <w:rPr>
            <w:rFonts w:ascii="Times New Roman" w:cs="Times New Roman" w:eastAsia="Times New Roman" w:hAnsi="Times New Roman"/>
            <w:sz w:val="18"/>
            <w:szCs w:val="18"/>
            <w:u w:val="single" w:color="auto"/>
            <w:color w:val="0000EE"/>
          </w:rPr>
          <w:t xml:space="preserve">October 14,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96">
        <w:r>
          <w:rPr>
            <w:rFonts w:ascii="Times New Roman" w:cs="Times New Roman" w:eastAsia="Times New Roman" w:hAnsi="Times New Roman"/>
            <w:sz w:val="18"/>
            <w:szCs w:val="18"/>
            <w:u w:val="single" w:color="auto"/>
            <w:color w:val="0000EE"/>
          </w:rPr>
          <w:t xml:space="preserve">November 1, 2022 </w:t>
        </w:r>
      </w:hyperlink>
      <w:hyperlink r:id="rId97">
        <w:r>
          <w:rPr>
            <w:rFonts w:ascii="Times New Roman" w:cs="Times New Roman" w:eastAsia="Times New Roman" w:hAnsi="Times New Roman"/>
            <w:sz w:val="18"/>
            <w:szCs w:val="18"/>
            <w:u w:val="single" w:color="auto"/>
            <w:color w:val="0000EE"/>
          </w:rPr>
          <w:t>(both reports)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other than information furnished pursuant to Item 2.02 or Item 7.01 of any such Current Report on Form 8-K); and</w:t>
      </w:r>
    </w:p>
    <w:p>
      <w:pPr>
        <w:spacing w:after="0" w:line="61" w:lineRule="exact"/>
        <w:rPr>
          <w:rFonts w:ascii="Times New Roman" w:cs="Times New Roman" w:eastAsia="Times New Roman" w:hAnsi="Times New Roman"/>
          <w:sz w:val="18"/>
          <w:szCs w:val="18"/>
          <w:color w:val="0000EE"/>
        </w:rPr>
      </w:pPr>
    </w:p>
    <w:p>
      <w:pPr>
        <w:ind w:left="1800" w:right="459" w:hanging="180"/>
        <w:spacing w:after="0" w:line="263" w:lineRule="auto"/>
        <w:tabs>
          <w:tab w:leader="none" w:pos="1800" w:val="left"/>
        </w:tabs>
        <w:numPr>
          <w:ilvl w:val="0"/>
          <w:numId w:val="19"/>
        </w:numPr>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the description of our common stock set forth in our registration statement filed on Form 8-A</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pursuant to Section 12 of the Securities Exchange Act of 1934, as amended (the “Exchange Act”),</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with the SEC on March 15, 2021, and any amendment or report filed for the purpose of updating that</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description.</w:t>
        </w:r>
      </w:hyperlink>
    </w:p>
    <w:p>
      <w:pPr>
        <w:spacing w:after="0" w:line="332" w:lineRule="exact"/>
        <w:rPr>
          <w:rFonts w:ascii="Times New Roman" w:cs="Times New Roman" w:eastAsia="Times New Roman" w:hAnsi="Times New Roman"/>
          <w:sz w:val="18"/>
          <w:szCs w:val="18"/>
          <w:u w:val="single" w:color="auto"/>
          <w:color w:val="0000EE"/>
        </w:rPr>
      </w:pPr>
    </w:p>
    <w:p>
      <w:pPr>
        <w:ind w:left="1260" w:right="759" w:firstLine="360"/>
        <w:spacing w:after="0" w:line="246" w:lineRule="auto"/>
        <w:rPr>
          <w:sz w:val="20"/>
          <w:szCs w:val="20"/>
          <w:color w:val="auto"/>
        </w:rPr>
      </w:pPr>
      <w:r>
        <w:rPr>
          <w:rFonts w:ascii="Times New Roman" w:cs="Times New Roman" w:eastAsia="Times New Roman" w:hAnsi="Times New Roman"/>
          <w:sz w:val="18"/>
          <w:szCs w:val="18"/>
          <w:color w:val="auto"/>
        </w:rPr>
        <w:t>All documents and reports that we file with the SEC (other than any portion of such filings that are furnished under applicable SEC rules rather than filed) under Sections 13(a), 13(c), 14 or 15(d) of the Exchange Act from the date of this prospectus until the completion of the offering under this prospectus shall be deemed to be incorporated in this prospectus by reference. The information contained on or accessible through our website at https://www.suncountry.com is not incorporated into this prospectus.</w:t>
      </w:r>
    </w:p>
    <w:p>
      <w:pPr>
        <w:spacing w:after="0" w:line="114" w:lineRule="exact"/>
        <w:rPr>
          <w:rFonts w:ascii="Times New Roman" w:cs="Times New Roman" w:eastAsia="Times New Roman" w:hAnsi="Times New Roman"/>
          <w:sz w:val="18"/>
          <w:szCs w:val="18"/>
          <w:u w:val="single" w:color="auto"/>
          <w:color w:val="0000EE"/>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these filings unless we have specifically included or incorporated that exhibit by reference into the filing, from the SEC as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or, at no cost, by writing or telephoning the Company at the following address:</w:t>
      </w:r>
    </w:p>
    <w:p>
      <w:pPr>
        <w:spacing w:after="0" w:line="323" w:lineRule="exact"/>
        <w:rPr>
          <w:rFonts w:ascii="Times New Roman" w:cs="Times New Roman" w:eastAsia="Times New Roman" w:hAnsi="Times New Roman"/>
          <w:sz w:val="18"/>
          <w:szCs w:val="18"/>
          <w:u w:val="single" w:color="auto"/>
          <w:color w:val="0000EE"/>
        </w:rPr>
      </w:pPr>
    </w:p>
    <w:p>
      <w:pPr>
        <w:ind w:left="3980"/>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5" w:lineRule="exact"/>
        <w:rPr>
          <w:rFonts w:ascii="Times New Roman" w:cs="Times New Roman" w:eastAsia="Times New Roman" w:hAnsi="Times New Roman"/>
          <w:sz w:val="18"/>
          <w:szCs w:val="18"/>
          <w:u w:val="single" w:color="auto"/>
          <w:color w:val="0000EE"/>
        </w:rPr>
      </w:pPr>
    </w:p>
    <w:p>
      <w:pPr>
        <w:ind w:left="4680"/>
        <w:spacing w:after="0"/>
        <w:rPr>
          <w:sz w:val="20"/>
          <w:szCs w:val="20"/>
          <w:color w:val="auto"/>
        </w:rPr>
      </w:pPr>
      <w:r>
        <w:rPr>
          <w:rFonts w:ascii="Times New Roman" w:cs="Times New Roman" w:eastAsia="Times New Roman" w:hAnsi="Times New Roman"/>
          <w:sz w:val="18"/>
          <w:szCs w:val="18"/>
          <w:color w:val="auto"/>
        </w:rPr>
        <w:t>2005 Cargo Road</w:t>
      </w:r>
    </w:p>
    <w:p>
      <w:pPr>
        <w:jc w:val="center"/>
        <w:ind w:right="-800"/>
        <w:spacing w:after="0" w:line="234" w:lineRule="auto"/>
        <w:rPr>
          <w:sz w:val="20"/>
          <w:szCs w:val="20"/>
          <w:color w:val="auto"/>
        </w:rPr>
      </w:pPr>
      <w:r>
        <w:rPr>
          <w:rFonts w:ascii="Times New Roman" w:cs="Times New Roman" w:eastAsia="Times New Roman" w:hAnsi="Times New Roman"/>
          <w:sz w:val="18"/>
          <w:szCs w:val="18"/>
          <w:color w:val="auto"/>
        </w:rPr>
        <w:t>Minneapolis, MN 55450</w:t>
      </w:r>
    </w:p>
    <w:p>
      <w:pPr>
        <w:spacing w:after="0" w:line="1" w:lineRule="exact"/>
        <w:rPr>
          <w:rFonts w:ascii="Times New Roman" w:cs="Times New Roman" w:eastAsia="Times New Roman" w:hAnsi="Times New Roman"/>
          <w:sz w:val="18"/>
          <w:szCs w:val="18"/>
          <w:u w:val="single" w:color="auto"/>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(651) 681-3900</w:t>
      </w:r>
    </w:p>
    <w:p>
      <w:pPr>
        <w:spacing w:after="0" w:line="7" w:lineRule="exact"/>
        <w:rPr>
          <w:rFonts w:ascii="Times New Roman" w:cs="Times New Roman" w:eastAsia="Times New Roman" w:hAnsi="Times New Roman"/>
          <w:sz w:val="18"/>
          <w:szCs w:val="18"/>
          <w:u w:val="single" w:color="auto"/>
          <w:color w:val="0000EE"/>
        </w:rPr>
      </w:pPr>
    </w:p>
    <w:p>
      <w:pPr>
        <w:jc w:val="center"/>
        <w:ind w:right="-8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26" w:lineRule="exact"/>
        <w:rPr>
          <w:rFonts w:ascii="Times New Roman" w:cs="Times New Roman" w:eastAsia="Times New Roman" w:hAnsi="Times New Roman"/>
          <w:sz w:val="18"/>
          <w:szCs w:val="18"/>
          <w:u w:val="single" w:color="auto"/>
          <w:color w:val="0000EE"/>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any prospectus supplement, any free writing prospectus that we authorize and any pricing supplement. We have not authorized any person, including any salesman or broker, to provide information other than that provided in this prospectus, any applicable prospectus supplement, any applicable free writing prospectus that we authorize or any applicable pricing supplement. We have not authorized anyone to provide you with different information. We do not take responsibility for, and can provide no assurance as to the reliability of, any information that others may give you. We are not making an offer of the securities in any jurisdiction where the offer is not permitted. You should not assume that the information in this prospectus, any applicable prospectus supplement, any applicable free writing prospectus that we authorize, any applicable pricing supplement or any documents incorporated by reference is accurate as of any date other than the date of the applicable document.</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386" w:lineRule="exact"/>
        <w:rPr>
          <w:rFonts w:ascii="Times New Roman" w:cs="Times New Roman" w:eastAsia="Times New Roman" w:hAnsi="Times New Roman"/>
          <w:sz w:val="18"/>
          <w:szCs w:val="18"/>
          <w:u w:val="single" w:color="auto"/>
          <w:color w:val="0000EE"/>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will be deemed to be modified or superseded for purposes of this prospectus to the extent that a statement contained in this prospectus, any prospectus supplement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can read and obtain such filings from the SEC’s website at https://www.sec.gov. We also make available free of charge on our website at https://www.suncountry.com all materials that we file electronically with the SEC. Our website and the information contained therein or connected thereto shall not be deemed to be incorporated into this prospectus or the registration statement of which this prospectus forms a part, and you should not rely on any such information in making your decision whether to purchase our securities.</w:t>
      </w:r>
    </w:p>
    <w:p>
      <w:pPr>
        <w:spacing w:after="0" w:line="33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Certain information included in this prospectus or in other materials we have filed or will file with the SEC (as well as information included in oral statements or other written statements made or to be made by us) includes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including statements regarding our strategy, future operations, future financial position, future revenue, projected costs, prospects, plans, objectives of management, and expected market growth are forward-looking statements. The forward-looking statements include, among other things, statements relating to:</w:t>
      </w:r>
    </w:p>
    <w:p>
      <w:pPr>
        <w:spacing w:after="0" w:line="80"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outlook and growth prospects;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financial targets and dividend policy;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trends in the industry and markets;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which we operate.</w:t>
      </w:r>
    </w:p>
    <w:p>
      <w:pPr>
        <w:spacing w:after="0" w:line="15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69" w:lineRule="exact"/>
        <w:rPr>
          <w:sz w:val="20"/>
          <w:szCs w:val="20"/>
          <w:color w:val="auto"/>
        </w:rPr>
      </w:pPr>
    </w:p>
    <w:p>
      <w:pPr>
        <w:ind w:left="1800" w:right="8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its effects including variants, travel restrictions, social distancing measures, vaccination requirements, and decreased demand for air travel;</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fuel cost;</w:t>
      </w:r>
    </w:p>
    <w:p>
      <w:pPr>
        <w:spacing w:after="0" w:line="103"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terrorist attacks, global instability and potential U.S. military actions or activities;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our industry;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beyond our control, including air traffic congestion, weather, security measures, travel-related taxes and outbreak of disease;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presence in international markets;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costs;</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restrictions on, or increased taxes applicable to charges for, ancillary products and services;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travel substitutes;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 successfully;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costs low;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Minneapolis-St. Paul market;</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business being adversely affected in the event of an emergency, accident or similar public incident involving our aircraft or personnel;</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providers and other commercial partners to perform functions integral to our operations;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disruptions;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or maintain our unit revenues or maintain our ancillary revenues;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union disputes, employee strikes and other labor-related disruptions;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 optimal daily aircraft utilization rate;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expand or operate reliably and efficiently out of airports where we maintain a large presence;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noise laws and regulations;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customer service;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dependence on cash balances and operating cash flows;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liquidity in the event one or more of our credit card processors were to impose holdback restrictions;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or access capital markets;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aircraft-related fixed obligations that could impair our liquidity;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maintenance obligations;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sole-source supplier for our aircraft and engine parts;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w:t>
      </w:r>
    </w:p>
    <w:p>
      <w:pPr>
        <w:spacing w:after="0" w:line="11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included or incorporated by reference in this prospectus, including those set forth or referenced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caution you that the foregoing list of important factors may not contain all of the material factors that are important to you. For additional information about factors that could cause actual results to differ materially from those described in the forward-looking statements, please see the documents that we have filed with the SEC, including our most recent annual report on Form 10-K, quarterly reports on Form 10-Q, current reports on Form 8-K and proxy statements.</w:t>
      </w:r>
    </w:p>
    <w:p>
      <w:pPr>
        <w:spacing w:after="0" w:line="11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reflect our views with respect to future events as of the date of this prospectus or the documents incorporated by reference herein, as applicable,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incorporated by reference herein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passengers and charter customers and providing crew, maintenance and insurance services to Amazon, with flights throughout the United States and to destinations in Canada,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30"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 filings incorporated by reference in this prospectus, see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We were organized under the laws of the State of Delaware as a limited liability company on December 8, 2017 and converted to a corporation under the laws of the state of Delaware on January 31, 2020. Our principal executive offices are located at 2005 Cargo Road, Minneapolis, MN 55450. Our telephone number is (651) 681-3900. Our website is located at https://www.suncountry.com.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specific risks discussed or incorporated by reference in the applicable prospectus supplement, together with all the other information contained in any applicable prospectus supplement or incorporated by reference in this prospectus and the applicable prospectus supplement. You should also consider the risks, uncertainties and assumptions discussed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the 2021 Annual Report and our Quarterly Reports on Form 10-Q, which are incorporated by reference in this prospectus, and which may be amended, supplemented or superseded from time to time in any prospectus supplement and by other reports we file with the SEC in the future. Please see the section of this prospectus under the heading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 the common stock offered by this prospectus. We will not receive any proceeds from sales of shares of our common stock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December 27, 2022 by the selling stockholders.</w:t>
      </w:r>
    </w:p>
    <w:p>
      <w:pPr>
        <w:spacing w:after="0" w:line="9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percentage of common stock beneficially owned by the selling stockholders is based on 58,166,674 shares of common stock outstanding as of September 30, 2022. 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w:t>
      </w:r>
    </w:p>
    <w:p>
      <w:pPr>
        <w:spacing w:after="0" w:line="10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also provides the maximum number of shares of our common stock that may be offered by the selling stockholders pursuant to this prospectus and the number of shares of our common stock that will be beneficially owned by the selling stockholders after such an offering, assuming the sale of all of the offered shares. The selling stockholders reserve the right to accept or reject, in whole or in part, any proposed sale of shares. The selling stockholders may also offer and sell less than the number of shares indicated or no shares. The selling stockholders are not making any representation that any shares covered by this prospectus will or will not be offered for sale. Information about each selling stockholder may change over time.</w:t>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 Common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of Common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Beneficially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Beneficially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Owned Before this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 After this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960" w:type="dxa"/>
            <w:vAlign w:val="bottom"/>
            <w:gridSpan w:val="2"/>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4"/>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Offered Hereby </w:t>
            </w:r>
            <w:r>
              <w:rPr>
                <w:rFonts w:ascii="Times New Roman" w:cs="Times New Roman" w:eastAsia="Times New Roman" w:hAnsi="Times New Roman"/>
                <w:sz w:val="24"/>
                <w:szCs w:val="24"/>
                <w:b w:val="1"/>
                <w:bCs w:val="1"/>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3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right w:val="single" w:sz="8" w:color="auto"/>
            </w:tcBorders>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0"/>
                <w:szCs w:val="20"/>
                <w:color w:val="auto"/>
              </w:rPr>
            </w:pPr>
          </w:p>
        </w:tc>
        <w:tc>
          <w:tcPr>
            <w:tcW w:w="154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Percent </w:t>
            </w:r>
            <w:r>
              <w:rPr>
                <w:rFonts w:ascii="Times New Roman" w:cs="Times New Roman" w:eastAsia="Times New Roman" w:hAnsi="Times New Roman"/>
                <w:sz w:val="27"/>
                <w:szCs w:val="27"/>
                <w:b w:val="1"/>
                <w:bCs w:val="1"/>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p>
        </w:tc>
        <w:tc>
          <w:tcPr>
            <w:tcW w:w="8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7"/>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Number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Percent</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SCA Horus Holdings, LLC</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24,869,997</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24,869,997</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4"/>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720" w:type="dxa"/>
            <w:vAlign w:val="bottom"/>
            <w:shd w:val="clear" w:color="auto" w:fill="CCEEFF"/>
          </w:tcPr>
          <w:p>
            <w:pPr>
              <w:spacing w:after="0"/>
              <w:rPr>
                <w:sz w:val="4"/>
                <w:szCs w:val="4"/>
                <w:color w:val="auto"/>
              </w:rPr>
            </w:pPr>
          </w:p>
        </w:tc>
        <w:tc>
          <w:tcPr>
            <w:tcW w:w="460" w:type="dxa"/>
            <w:vAlign w:val="bottom"/>
            <w:gridSpan w:val="2"/>
            <w:shd w:val="clear" w:color="auto" w:fill="CCEEFF"/>
          </w:tcPr>
          <w:p>
            <w:pPr>
              <w:ind w:left="220"/>
              <w:spacing w:after="0" w:line="54" w:lineRule="exact"/>
              <w:rPr>
                <w:sz w:val="20"/>
                <w:szCs w:val="20"/>
                <w:color w:val="auto"/>
              </w:rPr>
            </w:pPr>
            <w:r>
              <w:rPr>
                <w:rFonts w:ascii="Times New Roman" w:cs="Times New Roman" w:eastAsia="Times New Roman" w:hAnsi="Times New Roman"/>
                <w:sz w:val="6"/>
                <w:szCs w:val="6"/>
                <w:color w:val="auto"/>
              </w:rPr>
              <w:t>​ ​​</w:t>
            </w:r>
          </w:p>
        </w:tc>
        <w:tc>
          <w:tcPr>
            <w:tcW w:w="7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ind w:lef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820" w:type="dxa"/>
            <w:vAlign w:val="bottom"/>
            <w:tcBorders>
              <w:right w:val="single" w:sz="8" w:color="CCEEFF"/>
            </w:tcBorders>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34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gridSpan w:val="3"/>
            <w:vMerge w:val="continue"/>
            <w:shd w:val="clear" w:color="auto" w:fill="CCEEFF"/>
          </w:tcPr>
          <w:p>
            <w:pPr>
              <w:spacing w:after="0"/>
              <w:rPr>
                <w:sz w:val="4"/>
                <w:szCs w:val="4"/>
                <w:color w:val="auto"/>
              </w:rPr>
            </w:pPr>
          </w:p>
        </w:tc>
        <w:tc>
          <w:tcPr>
            <w:tcW w:w="340" w:type="dxa"/>
            <w:vAlign w:val="bottom"/>
            <w:tcBorders>
              <w:right w:val="single" w:sz="8" w:color="CCEEFF"/>
            </w:tcBorders>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Amazon.com NV Investment Holdings LLC</w:t>
            </w:r>
            <w:r>
              <w:rPr>
                <w:rFonts w:ascii="Times New Roman" w:cs="Times New Roman" w:eastAsia="Times New Roman" w:hAnsi="Times New Roman"/>
                <w:sz w:val="23"/>
                <w:szCs w:val="23"/>
                <w:color w:val="auto"/>
                <w:vertAlign w:val="superscript"/>
              </w:rPr>
              <w:t>(2)</w:t>
            </w:r>
          </w:p>
        </w:tc>
        <w:tc>
          <w:tcPr>
            <w:tcW w:w="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9,482,606</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9,482,606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3720" w:type="dxa"/>
            <w:vAlign w:val="bottom"/>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-483235</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-483235</wp:posOffset>
            </wp:positionV>
            <wp:extent cx="13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-483235</wp:posOffset>
            </wp:positionV>
            <wp:extent cx="36944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36944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30480</wp:posOffset>
            </wp:positionV>
            <wp:extent cx="12344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8" w:lineRule="exact"/>
        <w:rPr>
          <w:sz w:val="20"/>
          <w:szCs w:val="20"/>
          <w:color w:val="auto"/>
        </w:rPr>
      </w:pPr>
    </w:p>
    <w:p>
      <w:pPr>
        <w:ind w:left="1620" w:right="479" w:hanging="360"/>
        <w:spacing w:after="0" w:line="259"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 Horus Holdings, LLC is managed by a board of directors consisting of Patrick Kearney and Antoine Munfakh. Messrs. Kearney and Munfakh each disclaim any beneficial ownership of the shares of common stock held by SCA Horus Holdings, LLC except to the extent of their pecuniary interest therein. The address for SCA Horus Holdings, LLC is 9 West 57th Street, 43rd Floor, New York, New York 10019.</w:t>
      </w:r>
    </w:p>
    <w:p>
      <w:pPr>
        <w:spacing w:after="0" w:line="267" w:lineRule="exact"/>
        <w:rPr>
          <w:rFonts w:ascii="Times New Roman" w:cs="Times New Roman" w:eastAsia="Times New Roman" w:hAnsi="Times New Roman"/>
          <w:sz w:val="18"/>
          <w:szCs w:val="18"/>
          <w:color w:val="auto"/>
        </w:rPr>
      </w:pPr>
    </w:p>
    <w:p>
      <w:pPr>
        <w:ind w:left="1620" w:right="819" w:hanging="360"/>
        <w:spacing w:after="0" w:line="266"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9,482,606 shares of common stock issuable upon exercise of warrants. The address for Amazon.com NV Investment Holdings LLC is c/o Amazon.com, Inc., P.O. Box 81226, Seattle, WA 98108.</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Stockholders</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SCA Horus Holdings, LLC (the “Apollo Stockholder”) is an affiliate of certain investment funds managed by affiliates of Apollo Global Management, Inc. (together with its subsidiaries, “Apollo”). Additionally, the Apollo Stockholder is a party to the Income Tax Receivable Agreement, the Stockholders Agreement and the Registration Rights Agreement, each of which provides Apollo with certain governance and other rights. For more information on each of these agreements, please refer to the descriptions of these agreements found in our filings, which are incorporated herein by reference.</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December 13, 2019, we signed the Air Transportation Services Agreement (as amended,</w:t>
      </w:r>
    </w:p>
    <w:p>
      <w:pPr>
        <w:spacing w:after="0" w:line="27" w:lineRule="exact"/>
        <w:rPr>
          <w:sz w:val="20"/>
          <w:szCs w:val="20"/>
          <w:color w:val="auto"/>
        </w:rPr>
      </w:pPr>
    </w:p>
    <w:p>
      <w:pPr>
        <w:jc w:val="both"/>
        <w:ind w:left="1260" w:right="539"/>
        <w:spacing w:after="0" w:line="250" w:lineRule="auto"/>
        <w:rPr>
          <w:sz w:val="20"/>
          <w:szCs w:val="20"/>
          <w:color w:val="auto"/>
        </w:rPr>
      </w:pPr>
      <w:r>
        <w:rPr>
          <w:rFonts w:ascii="Times New Roman" w:cs="Times New Roman" w:eastAsia="Times New Roman" w:hAnsi="Times New Roman"/>
          <w:sz w:val="18"/>
          <w:szCs w:val="18"/>
          <w:color w:val="auto"/>
        </w:rPr>
        <w:t>the “ATSA”) with Amazon.com Services, LLC (together with its affiliates, “Amazon”) to provide air cargo services. In connection with the ATSA, we issued warrants (the “2019 Warrants”) to purchase an aggregate of 9,482,606 shares of common stock at an exercise price of approximately $15.17 per share to Amazon.</w:t>
      </w:r>
    </w:p>
    <w:p>
      <w:pPr>
        <w:spacing w:after="0" w:line="1"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Additionally, Amazon is a party to the Stockholders Agreement and the Registration Rights Agreement. For more information on these agreements, please refer to the descriptions of these agreements found in our filings, which are incorporated by herein by reference.</w:t>
      </w:r>
    </w:p>
    <w:p>
      <w:pPr>
        <w:spacing w:after="0" w:line="200" w:lineRule="exact"/>
        <w:rPr>
          <w:sz w:val="20"/>
          <w:szCs w:val="20"/>
          <w:color w:val="auto"/>
        </w:rPr>
      </w:pPr>
    </w:p>
    <w:p>
      <w:pPr>
        <w:spacing w:after="0" w:line="21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is a description of the material terms of our amended and restated certificate of incorporation and amended and restated bylaws and of specific provisions of Delaware law. The following description is intended as a summary only and is qualified in its entirety by reference to our certificate of incorporation, our bylaws and the Delaware General Corporation Law (the “DGCL”).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Our capital stock consists of 1,000,000,000 authorized shares, of which 995,000,000 shares, par value $0.01 per share, are designated as “common stock” and 5,000,000 shares, par value $0.01 per share, are designated as “preferred stock.” As of September 30, 2022, there were 58,166,674 shares of common stock outstanding and no shares of preferred stock outstanding.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0" w:lineRule="exact"/>
        <w:rPr>
          <w:sz w:val="20"/>
          <w:szCs w:val="20"/>
          <w:color w:val="auto"/>
        </w:rPr>
      </w:pPr>
    </w:p>
    <w:p>
      <w:pPr>
        <w:ind w:left="1260" w:right="8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our common stock are entitled to one vote per share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for action by the stockholders generally.</w:t>
      </w:r>
    </w:p>
    <w:p>
      <w:pPr>
        <w:spacing w:after="0" w:line="91" w:lineRule="exact"/>
        <w:rPr>
          <w:sz w:val="20"/>
          <w:szCs w:val="20"/>
          <w:color w:val="auto"/>
        </w:rPr>
      </w:pPr>
    </w:p>
    <w:p>
      <w:pPr>
        <w:jc w:val="both"/>
        <w:ind w:left="1260" w:right="4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any preferential rights of any then outstanding preferred stock, all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are entitled to share equally in any dividends our board of directors may declare from legally available sources.</w:t>
      </w:r>
    </w:p>
    <w:p>
      <w:pPr>
        <w:spacing w:after="0" w:line="9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Upon our liquidation, dissolution or winding up, whether voluntary or</w:t>
      </w:r>
    </w:p>
    <w:p>
      <w:pPr>
        <w:spacing w:after="0" w:line="18" w:lineRule="exact"/>
        <w:rPr>
          <w:sz w:val="20"/>
          <w:szCs w:val="20"/>
          <w:color w:val="auto"/>
        </w:rPr>
      </w:pPr>
    </w:p>
    <w:p>
      <w:pPr>
        <w:jc w:val="both"/>
        <w:ind w:left="1260" w:right="919"/>
        <w:spacing w:after="0" w:line="246" w:lineRule="auto"/>
        <w:rPr>
          <w:sz w:val="20"/>
          <w:szCs w:val="20"/>
          <w:color w:val="auto"/>
        </w:rPr>
      </w:pPr>
      <w:r>
        <w:rPr>
          <w:rFonts w:ascii="Times New Roman" w:cs="Times New Roman" w:eastAsia="Times New Roman" w:hAnsi="Times New Roman"/>
          <w:sz w:val="18"/>
          <w:szCs w:val="18"/>
          <w:color w:val="auto"/>
        </w:rPr>
        <w:t>involuntary, after payment in full of the amounts required to be paid to holders of any the outstanding preferred stock, all shares of our common stock are entitled to share equally in the assets available for distribution to stockholders after payment of all of our prior obligations.</w:t>
      </w:r>
    </w:p>
    <w:p>
      <w:pPr>
        <w:spacing w:after="0" w:line="111"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Other Matters</w:t>
      </w:r>
      <w:r>
        <w:rPr>
          <w:rFonts w:ascii="Times New Roman" w:cs="Times New Roman" w:eastAsia="Times New Roman" w:hAnsi="Times New Roman"/>
          <w:sz w:val="18"/>
          <w:szCs w:val="18"/>
          <w:color w:val="auto"/>
        </w:rPr>
        <w:t>.    Holders of our common stock have no preemptive or conversion rights,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is not subject to further calls or 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ATSA, we issued the 2019 Warrants to purchase an aggregate of 9,482,606 shares of our common stock at an exercise price of approximately $15.17 per share to Amazon. 632,183 of the 2019 Warrants vested upon issuance of the warrants and incremental tranches vest upon certain milestones of aggregate global payments by Amazon to the Company or its affiliates pursuant to the ATSA up to a total of $1.1 billion of aggregate payments. As of September 30, 2022, approximately 23.3% of the 2019 Warrants were vested. Any unvested 2019 Warrants will become vested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for cash or on a cashless basis until the eighth anniversary of the issue date.</w:t>
      </w:r>
    </w:p>
    <w:p>
      <w:pPr>
        <w:spacing w:after="0" w:line="121"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In the event we or our equityholders propose to initiate a process to explore, enter into negotiations or accept any offer with respect to a change of control of the Company, we are required to provide Amazon at</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least 30 days’ written notice prior to entering into any definitive agreement or binding letter of intent. In addition, Amazon will have the right to enter into non-exclusive,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Composition of Board of Directors; Election and Removal</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currently consisting of two directors in Class I, three directors in Class II and three directors in Class III. See “— </w:t>
      </w:r>
      <w:r>
        <w:rPr>
          <w:rFonts w:ascii="Times New Roman" w:cs="Times New Roman" w:eastAsia="Times New Roman" w:hAnsi="Times New Roman"/>
          <w:sz w:val="18"/>
          <w:szCs w:val="18"/>
          <w:i w:val="1"/>
          <w:iCs w:val="1"/>
          <w:color w:val="auto"/>
        </w:rPr>
        <w:t>Certain Corporate Anti-takeover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 — Classified Board of Directors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Under our Stockholders’ Agreement (as amended or modified from time to time, the “Stockholders Agreement”) with the Apollo Stockholder and certain other stockholders party thereto,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w:t>
      </w:r>
    </w:p>
    <w:p>
      <w:pPr>
        <w:spacing w:after="0" w:line="113"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At any meeting of our board of directors, except as otherwise required by law, a majority of the total number of directors then in office will constitute a quorum for all purposes, except that if Apollo and its affiliates, 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Corporate Anti-takeover Provisions</w:t>
      </w:r>
    </w:p>
    <w:p>
      <w:pPr>
        <w:spacing w:after="0" w:line="14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6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46"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 </w:t>
      </w:r>
      <w:r>
        <w:rPr>
          <w:rFonts w:ascii="Times New Roman" w:cs="Times New Roman" w:eastAsia="Times New Roman" w:hAnsi="Times New Roman"/>
          <w:sz w:val="18"/>
          <w:szCs w:val="18"/>
          <w:i w:val="1"/>
          <w:iCs w:val="1"/>
          <w:color w:val="auto"/>
        </w:rPr>
        <w:t>Composition of Board of Directors; 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Removal</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Removal of Directors; Vacancies</w:t>
      </w:r>
    </w:p>
    <w:p>
      <w:pPr>
        <w:spacing w:after="0" w:line="16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Under the DGCL, unless otherwise provided in our certificate of incorporation, directors serving on a classified board may be removed by the stockholders only for cause. Our certificate of incorporation provides that directors may only be removed for cause upon the affirmative vote of holders of at least 66 2/3% in voting power of all outstanding shares of stock entitled to vote thereon, voting together as a single class; provided, however, that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 </w:t>
      </w:r>
      <w:r>
        <w:rPr>
          <w:rFonts w:ascii="Times New Roman" w:cs="Times New Roman" w:eastAsia="Times New Roman" w:hAnsi="Times New Roman"/>
          <w:sz w:val="18"/>
          <w:szCs w:val="18"/>
          <w:i w:val="1"/>
          <w:iCs w:val="1"/>
          <w:color w:val="auto"/>
        </w:rPr>
        <w:t>Composition of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Election and Removal</w:t>
      </w:r>
      <w:r>
        <w:rPr>
          <w:rFonts w:ascii="Times New Roman" w:cs="Times New Roman" w:eastAsia="Times New Roman" w:hAnsi="Times New Roman"/>
          <w:sz w:val="18"/>
          <w:szCs w:val="18"/>
          <w:color w:val="auto"/>
        </w:rPr>
        <w:t>.”</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60"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Under our certificate of incorporation, stockholders do not have the right to cumulative votes in the election of directors.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60"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the stockholders may be called only by the chairman of the board of directors or by the secretary at the direction of a majority of the directors then in office. The business transacted at any special meeting will be limited to the proposal or proposals included in the notice of the meeting.</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Action by Written Consent</w:t>
      </w:r>
    </w:p>
    <w:p>
      <w:pPr>
        <w:spacing w:after="0" w:line="160"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Subject to the rights of the holders of one or more series of our preferred stock then outstanding, any action required or permitted to be taken by stockholders must be effected at a duly called annual or special meeting of our stockholders.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4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Delaware Takeover Statute</w:t>
      </w:r>
    </w:p>
    <w:p>
      <w:pPr>
        <w:spacing w:after="0" w:line="146"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0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However, our certificate of incorporation includes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certain investment funds managed by affiliates of Apollo and the Apollo Stockholder, or their direct and indirect transferees, on the one hand, and us, on the other. In addition, such restrictions will not apply if:</w:t>
      </w:r>
    </w:p>
    <w:p>
      <w:pPr>
        <w:spacing w:after="0" w:line="87" w:lineRule="exact"/>
        <w:rPr>
          <w:sz w:val="20"/>
          <w:szCs w:val="20"/>
          <w:color w:val="auto"/>
        </w:rPr>
      </w:pPr>
    </w:p>
    <w:p>
      <w:pPr>
        <w:ind w:left="1800" w:right="459" w:hanging="180"/>
        <w:spacing w:after="0" w:line="259"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294"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w:t>
      </w:r>
    </w:p>
    <w:p>
      <w:pPr>
        <w:spacing w:after="0" w:line="3" w:lineRule="exact"/>
        <w:rPr>
          <w:rFonts w:ascii="Times New Roman" w:cs="Times New Roman" w:eastAsia="Times New Roman" w:hAnsi="Times New Roman"/>
          <w:sz w:val="18"/>
          <w:szCs w:val="18"/>
          <w:color w:val="auto"/>
        </w:rPr>
      </w:pPr>
    </w:p>
    <w:p>
      <w:pPr>
        <w:ind w:left="1800" w:right="439"/>
        <w:spacing w:after="0" w:line="251" w:lineRule="auto"/>
        <w:tabs>
          <w:tab w:leader="none" w:pos="21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58" w:lineRule="auto"/>
        <w:rPr>
          <w:sz w:val="20"/>
          <w:szCs w:val="20"/>
          <w:color w:val="auto"/>
        </w:rPr>
      </w:pPr>
      <w:r>
        <w:rPr>
          <w:rFonts w:ascii="Times New Roman" w:cs="Times New Roman" w:eastAsia="Times New Roman" w:hAnsi="Times New Roman"/>
          <w:sz w:val="18"/>
          <w:szCs w:val="18"/>
          <w:color w:val="auto"/>
        </w:rPr>
        <w:t>Company will give not less than 20 days’ notice to all interested stockholders prior to the consummation of any of the transactions described in clause (x) or (y) above. Additionally, we would be able to enter into a business combination with an interested stockholder if:</w:t>
      </w:r>
    </w:p>
    <w:p>
      <w:pPr>
        <w:spacing w:after="0" w:line="61" w:lineRule="exact"/>
        <w:rPr>
          <w:sz w:val="20"/>
          <w:szCs w:val="20"/>
          <w:color w:val="auto"/>
        </w:rPr>
      </w:pPr>
    </w:p>
    <w:p>
      <w:pPr>
        <w:ind w:left="2160" w:right="699" w:hanging="180"/>
        <w:spacing w:after="0" w:line="266" w:lineRule="auto"/>
        <w:tabs>
          <w:tab w:leader="none" w:pos="2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that person became an interested stockholder, our board of directors approved the transaction in which the interested stockholder became an interested stockholder or approved the business combination;</w:t>
      </w:r>
    </w:p>
    <w:p>
      <w:pPr>
        <w:spacing w:after="0" w:line="67" w:lineRule="exact"/>
        <w:rPr>
          <w:rFonts w:ascii="Times New Roman" w:cs="Times New Roman" w:eastAsia="Times New Roman" w:hAnsi="Times New Roman"/>
          <w:sz w:val="18"/>
          <w:szCs w:val="18"/>
          <w:color w:val="auto"/>
        </w:rPr>
      </w:pPr>
    </w:p>
    <w:p>
      <w:pPr>
        <w:ind w:left="2160" w:right="619" w:hanging="180"/>
        <w:spacing w:after="0" w:line="255" w:lineRule="auto"/>
        <w:tabs>
          <w:tab w:leader="none" w:pos="2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80" w:lineRule="exact"/>
        <w:rPr>
          <w:rFonts w:ascii="Times New Roman" w:cs="Times New Roman" w:eastAsia="Times New Roman" w:hAnsi="Times New Roman"/>
          <w:sz w:val="18"/>
          <w:szCs w:val="18"/>
          <w:color w:val="auto"/>
        </w:rPr>
      </w:pPr>
    </w:p>
    <w:p>
      <w:pPr>
        <w:ind w:left="2160" w:right="479" w:hanging="180"/>
        <w:spacing w:after="0" w:line="261" w:lineRule="auto"/>
        <w:tabs>
          <w:tab w:leader="none" w:pos="2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11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31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Amendment of Our Certificate of Incorporation</w:t>
      </w:r>
    </w:p>
    <w:p>
      <w:pPr>
        <w:spacing w:after="0" w:line="146"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Under Delaware law, our certificate of incorporation may be amended only with the affirmative vote of holders of at least a majority of the outstanding stock entitled to vote thereon.</w:t>
      </w:r>
    </w:p>
    <w:p>
      <w:pPr>
        <w:spacing w:after="0" w:line="81"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foregoing, our certificate of incorporation provides that,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75" w:lineRule="exact"/>
        <w:rPr>
          <w:sz w:val="20"/>
          <w:szCs w:val="20"/>
          <w:color w:val="auto"/>
        </w:rPr>
      </w:pPr>
    </w:p>
    <w:p>
      <w:pPr>
        <w:ind w:left="1800" w:right="59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9"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29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authorizing our board of directors to make, alter, amend or repeal our bylaws;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calling of special meetings and stockholder action by written consent in lieu of a meeting;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indemnification and advance of expenses of our directors and officers;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that amendments to specified provisions of our certificate of incorporation require the affirmative vote of 66 2/3% in voting power of our outstanding stock, voting as a single class; and</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that amendments by the stockholders to our bylaws require the affirmative vote of 66 2/3% in voting power of our outstanding stock, voting as a single class.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Amendment of Our Bylaws</w:t>
      </w:r>
    </w:p>
    <w:p>
      <w:pPr>
        <w:spacing w:after="0" w:line="146"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Our bylaws provide that they can be amended by the vote of the holders of shares constituting a majority of the voting power or by the vote of a majority of the board of directors. However, our certificate of incorporation provides that,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Certain Matters that Require Consent of our Stockholders</w:t>
      </w:r>
    </w:p>
    <w:p>
      <w:pPr>
        <w:spacing w:after="0" w:line="16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69" w:lineRule="exact"/>
        <w:rPr>
          <w:sz w:val="20"/>
          <w:szCs w:val="20"/>
          <w:color w:val="auto"/>
        </w:rPr>
      </w:pPr>
    </w:p>
    <w:p>
      <w:pPr>
        <w:ind w:left="1800" w:right="47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6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disposition of any of our or our subsidiaries’ assets or equity interests, other than dispositions of aircraft or engines in the ordinary course of business; or</w:t>
      </w:r>
    </w:p>
    <w:p>
      <w:pPr>
        <w:spacing w:after="0" w:line="53"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10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162" w:lineRule="exact"/>
        <w:rPr>
          <w:sz w:val="20"/>
          <w:szCs w:val="20"/>
          <w:color w:val="auto"/>
        </w:rPr>
      </w:pPr>
    </w:p>
    <w:p>
      <w:pPr>
        <w:ind w:left="1260" w:right="639" w:firstLine="360"/>
        <w:spacing w:after="0" w:line="257" w:lineRule="auto"/>
        <w:rPr>
          <w:sz w:val="20"/>
          <w:szCs w:val="20"/>
          <w:color w:val="auto"/>
        </w:rPr>
      </w:pPr>
      <w:r>
        <w:rPr>
          <w:rFonts w:ascii="Times New Roman" w:cs="Times New Roman" w:eastAsia="Times New Roman" w:hAnsi="Times New Roman"/>
          <w:sz w:val="18"/>
          <w:szCs w:val="18"/>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45" w:lineRule="auto"/>
        <w:rPr>
          <w:sz w:val="20"/>
          <w:szCs w:val="20"/>
          <w:color w:val="auto"/>
        </w:rPr>
      </w:pPr>
      <w:r>
        <w:rPr>
          <w:rFonts w:ascii="Times New Roman" w:cs="Times New Roman" w:eastAsia="Times New Roman" w:hAnsi="Times New Roman"/>
          <w:sz w:val="18"/>
          <w:szCs w:val="18"/>
          <w:color w:val="auto"/>
        </w:rPr>
        <w:t>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11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Section 122(17) of the DGCL permits a corporation to renounce, in advance, in its certificate of incorporation or by action of its board of directors, any interest or expectancy of a corporation in certain classes 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and representatives, as applicable, instead of us, or does not communicate information regarding a corporate opportunity to us that the officer, director, employee, managing director or other affiliate has directed to Apollo or Amazon, as applicable.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Ownership and Voting by Foreign Owners</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33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For purposes of the restrictions on foreign ownership and control of U.S. airlines, under federal law and DOT policy, “citizen of the United States” means (A) an individual who is a citizen of the United States;</w:t>
      </w:r>
    </w:p>
    <w:p>
      <w:pPr>
        <w:spacing w:after="0" w:line="1" w:lineRule="exact"/>
        <w:rPr>
          <w:sz w:val="20"/>
          <w:szCs w:val="20"/>
          <w:color w:val="auto"/>
        </w:rPr>
      </w:pPr>
    </w:p>
    <w:p>
      <w:pPr>
        <w:ind w:left="1260" w:right="439"/>
        <w:spacing w:after="0" w:line="242" w:lineRule="auto"/>
        <w:tabs>
          <w:tab w:leader="none" w:pos="15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Exclusive Forum Selection</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the Chancery Court of the State of Delaware will, to the fullest extent permitted by law, be the sole and exclusive forum for:</w:t>
      </w:r>
    </w:p>
    <w:p>
      <w:pPr>
        <w:spacing w:after="0" w:line="68" w:lineRule="exact"/>
        <w:rPr>
          <w:sz w:val="20"/>
          <w:szCs w:val="20"/>
          <w:color w:val="auto"/>
        </w:rPr>
      </w:pPr>
    </w:p>
    <w:p>
      <w:pPr>
        <w:ind w:left="5240" w:right="3659" w:hanging="3620"/>
        <w:spacing w:after="0" w:line="736" w:lineRule="auto"/>
        <w:tabs>
          <w:tab w:leader="none" w:pos="17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-34925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3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employees or agents to us or our stockholders;</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of our certificate of incorporation or our bylaws; or</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governed by the internal affairs doctrine,</w:t>
      </w:r>
    </w:p>
    <w:p>
      <w:pPr>
        <w:spacing w:after="0" w:line="94"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in each such case subject to the Delaware Court of Chancery having personal jurisdiction over the indispensable parties named as defendants.</w:t>
      </w:r>
    </w:p>
    <w:p>
      <w:pPr>
        <w:spacing w:after="0" w:line="8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33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6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68" w:lineRule="exact"/>
        <w:rPr>
          <w:sz w:val="20"/>
          <w:szCs w:val="20"/>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the corporation or its stockholders;</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(governing distributions to stockholders);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121"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108"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10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We believe these provisions will assist in attracting and retaining qualified individuals to serve as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“SNCY.”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Any selling stockholder may offer and sell shares of our common stock, in any one or more of the following ways:</w:t>
      </w:r>
    </w:p>
    <w:p>
      <w:pPr>
        <w:spacing w:after="0" w:line="54"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other purchasers;</w:t>
      </w:r>
    </w:p>
    <w:p>
      <w:pPr>
        <w:spacing w:after="0" w:line="117"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on a best-efforts basis;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through a combination of any of the above methods of sale.</w:t>
      </w:r>
    </w:p>
    <w:p>
      <w:pPr>
        <w:spacing w:after="0" w:line="15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In addition, any selling stockholder may enter into option, share lending or other types of transactions that require such selling stockholder to deliver the shares of common stock to an underwriter, broker or dealer, who will then resell or transfer the shares of common stock under this prospectus. Any selling stockholder may also enter into hedging transactions with respect to the securities of such selling stockholder. For example, any selling stockholder may:</w:t>
      </w:r>
    </w:p>
    <w:p>
      <w:pPr>
        <w:spacing w:after="0" w:line="75" w:lineRule="exact"/>
        <w:rPr>
          <w:sz w:val="20"/>
          <w:szCs w:val="20"/>
          <w:color w:val="auto"/>
        </w:rPr>
      </w:pPr>
    </w:p>
    <w:p>
      <w:pPr>
        <w:ind w:left="1800" w:right="5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involving short sales of the shares of common stock by underwriters, brokers or dealers;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shares of common stock short and deliver the shares to close out short positions;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option or other types of transactions that require such selling stockholder to deliver shares of common stock to an underwriter or broker-dealer, who will then resell or transfer the shares of common stock under this prospectus; or</w:t>
      </w:r>
    </w:p>
    <w:p>
      <w:pPr>
        <w:spacing w:after="0" w:line="6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pledge the shares of common stock to an underwriter, broker or dealer, who may sell the loaned shares or, in the event of default, sell the pledged shares.</w:t>
      </w:r>
    </w:p>
    <w:p>
      <w:pPr>
        <w:spacing w:after="0" w:line="81"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Any selling stockholder will act independently of us in making decisions with respect to the timing, manner and size of each sale of shares of common stock covered by this prospectus.</w:t>
      </w:r>
    </w:p>
    <w:p>
      <w:pPr>
        <w:spacing w:after="0" w:line="94"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Any selling stockholder may enter into derivative transactions with third parties, or sell securities not covered by this prospectus to third parties in privately negotiated transactions, including sales deemed to be an at-the-market offering as defined in Rule 415 promulgated under the Securities Act, which includes sales made directly on or through Nasdaq, the existing trading market for our shares of common stock, or sales made to or through a market maker other than on an exchange. In connection with those derivatives, the third parties may sell securities covered by this prospectus, including in short sale transactions. If so, the third party may use securities pledged by such selling stockholder, or borrowed from such selling stockholder or others to settle those sales or to close out any related open borrowings of stock, and may use securities received from such selling stockholder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any selling stockholder may otherwise loan or pledge securities to a financial institution or other third party that in turn may sell the securities short using this prospectus. Such financial institution or other third party may transfer its economic short position to investors in the securities of such selling stockholder, or in connection with a concurrent offering of other securities.</w:t>
      </w:r>
    </w:p>
    <w:p>
      <w:pPr>
        <w:spacing w:after="0" w:line="12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Shares of common stock may also be exchanged for satisfaction of any selling stockholder’s obligations or other liabilities to its creditors. Such transactions may or may not involve brokers or dealers.</w:t>
      </w:r>
    </w:p>
    <w:p>
      <w:pPr>
        <w:spacing w:after="0" w:line="81"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addition, a selling stockholder that is an entity may elect to make a pro rata in-kind distribution of securities to its members, partners or stockholders or purchase or redeem interests held in such entity by its members, partners or stockholders in exchange for securities, in each case pursuant to the registration statement of which this prospectus is a part by delivering a prospectus with a plan of distribution. Such members, partners or stockholders (unless our affiliate) would thereby receive freely tradeable securities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58" w:lineRule="auto"/>
        <w:rPr>
          <w:sz w:val="20"/>
          <w:szCs w:val="20"/>
          <w:color w:val="auto"/>
        </w:rPr>
      </w:pPr>
      <w:r>
        <w:rPr>
          <w:rFonts w:ascii="Times New Roman" w:cs="Times New Roman" w:eastAsia="Times New Roman" w:hAnsi="Times New Roman"/>
          <w:sz w:val="18"/>
          <w:szCs w:val="18"/>
          <w:color w:val="auto"/>
        </w:rPr>
        <w:t>pursuant to the distribution.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0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securities may be sold from time to time by any selling stockholder in one or more transactions:</w:t>
      </w:r>
    </w:p>
    <w:p>
      <w:pPr>
        <w:spacing w:after="0" w:line="117"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Such sales may be effected:</w:t>
      </w:r>
    </w:p>
    <w:p>
      <w:pPr>
        <w:spacing w:after="0" w:line="117" w:lineRule="exact"/>
        <w:rPr>
          <w:sz w:val="20"/>
          <w:szCs w:val="20"/>
          <w:color w:val="auto"/>
        </w:rPr>
      </w:pPr>
    </w:p>
    <w:p>
      <w:pPr>
        <w:ind w:left="1800" w:right="53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on any national securities exchange or quotation service on which the securities may be listed or quoted at the time of sale;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in the over-the-counter market;</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other types of transactions.</w:t>
      </w:r>
    </w:p>
    <w:p>
      <w:pPr>
        <w:spacing w:after="0" w:line="15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securities may be offered to the public either through underwriting syndicates represented by one or more managing underwriters or directly by one or more of such firms.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11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selling stockholders might not sell any securities under this prospectus. In addition, any of the</w:t>
      </w:r>
    </w:p>
    <w:p>
      <w:pPr>
        <w:spacing w:after="0" w:line="27"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securities covered by this prospectus that qualify for sale pursuant to Rule 144 under the Securities Act may be sold under Rule 144 rather than pursuant to this prospectus.</w:t>
      </w:r>
    </w:p>
    <w:p>
      <w:pPr>
        <w:spacing w:after="0" w:line="113"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securities may be sold directly by any selling stockholder or through agents designated by such selling stockholder from time to time. Any such agent will be acting on a best efforts basis for the period of its appointment.</w:t>
      </w:r>
    </w:p>
    <w:p>
      <w:pPr>
        <w:spacing w:after="0" w:line="102"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Offers to purchase the securities offered by this prospectus may be solicited, and sales of the securities may be made, by any selling stockholder directly to institutional investors or others, who may be deemed to be underwriters within the meaning of the Securities Act with respect to any resale of the securities.</w:t>
      </w:r>
    </w:p>
    <w:p>
      <w:pPr>
        <w:spacing w:after="0" w:line="10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Underwriters, dealers or agents will be authorized to solicit offers by certain institutional investors to purchase securities from any selling stockholder pursuant to contracts providing for payment and delivery at a future date. Institutional investors with which these contracts may be made include, among others:</w:t>
      </w:r>
    </w:p>
    <w:p>
      <w:pPr>
        <w:spacing w:after="0" w:line="61"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savings banks;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and charitable institutions.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all cases, these purchasers must be approved by the applicable selling stockholder.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any selling stockholder must have sold to these underwriters the securities not subject to delayed delivery. Underwriters and other agents will not have any responsibility in respect of the validity or performance of these contracts.</w:t>
      </w:r>
    </w:p>
    <w:p>
      <w:pPr>
        <w:spacing w:after="0" w:line="12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Some of the underwriters, dealers or agents used by any selling stockholder in any offering of securities under this prospectus may be customers of, engage in transactions with, and perform services for such selling stockholder or affiliates of such selling stockholder in the ordinary course of business. Underwriters, dealers, agents and other persons may be entitled under agreements that may be entered into with any selling stockholder to indemnification against and contribution toward certain civil liabilities, including liabilities under the Securities Act, and to be reimbursed by such selling stockholder for certain expenses.</w:t>
      </w:r>
    </w:p>
    <w:p>
      <w:pPr>
        <w:spacing w:after="0" w:line="120"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Any selling stockholder may be deemed to be an “underwriter” within the meaning of Section 2(a)(11) of the Securities Act.</w:t>
      </w:r>
    </w:p>
    <w:p>
      <w:pPr>
        <w:spacing w:after="0" w:line="81"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Any securities initially sold outside the United States may be resold in the United States through underwriters, dealers or otherwise.</w:t>
      </w:r>
    </w:p>
    <w:p>
      <w:pPr>
        <w:spacing w:after="0" w:line="9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Any underwriters to which offered securities are sold by any selling stockholder for public offering and sale may make a market in such securities, but those underwriters will not be obligated to do so and may discontinue any market making at any time.</w:t>
      </w:r>
    </w:p>
    <w:p>
      <w:pPr>
        <w:spacing w:after="0" w:line="10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anticipated date of delivery of the securities offered by this prospectus will be described in the applicable prospectus supplement relating to the offering.</w:t>
      </w:r>
    </w:p>
    <w:p>
      <w:pPr>
        <w:spacing w:after="0" w:line="8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If underwriters or dealers are used in the sale of securities, until the distribution of the securities is completed, rules of the SEC may limit the ability of any underwriters to bid for and purchase our securities. As an exception to these rules, representatives of any underwriters are permitted to engage in transactions that stabilize the price of our securities. These transactions may consist of bids or purchases for the purpose of pegging, fixing or maintaining the price of such securities. If the underwriters create a short position in our securities in connection with an offering (that is, if they sell more securities than are set forth on the cover page of this prospectus) the representatives of the underwriters may reduce that short position by purchasing such securities in the open market. We make no representation or prediction as to the direction or magnitude of any effect that the transactions described above may have on the price of our securities. In addition, we make no representation that the representatives of any underwriters will engage in these transactions or that these transactions, once commenced, will not be discontinued without notice.</w:t>
      </w:r>
    </w:p>
    <w:p>
      <w:pPr>
        <w:spacing w:after="0" w:line="124"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Pursuant to a requirement by the Financial Industry Regulatory Authority (“FINRA”), the maximum commission or discount to be received by any FINRA member or independent broker-dealer may not be greater than 8% of the proceeds received by any selling stockholder for the sale of any securities being offered by this prospectus.</w:t>
      </w:r>
    </w:p>
    <w:p>
      <w:pPr>
        <w:spacing w:after="0" w:line="11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offered securities will be passed upon for us by Paul, Weiss, Rifkind, Wharton &amp; Garrison LLP, 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Sun Country Airlines Holdings, Inc. as of December 31, 2021 and 2020, and for each of the years in the three-year period ended December 31, 2021,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5,250,000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727075</wp:posOffset>
            </wp:positionV>
            <wp:extent cx="2228850" cy="283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222885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2119"/>
        <w:spacing w:after="0"/>
        <w:rPr>
          <w:sz w:val="20"/>
          <w:szCs w:val="20"/>
          <w:color w:val="auto"/>
        </w:rPr>
      </w:pPr>
      <w:r>
        <w:rPr>
          <w:rFonts w:ascii="Times New Roman" w:cs="Times New Roman" w:eastAsia="Times New Roman" w:hAnsi="Times New Roman"/>
          <w:sz w:val="32"/>
          <w:szCs w:val="32"/>
          <w:b w:val="1"/>
          <w:bCs w:val="1"/>
          <w:color w:val="auto"/>
        </w:rPr>
        <w:t>Sun Country Airlines Holdings, Inc.</w:t>
      </w:r>
    </w:p>
    <w:p>
      <w:pPr>
        <w:spacing w:after="0" w:line="200" w:lineRule="exact"/>
        <w:rPr>
          <w:sz w:val="20"/>
          <w:szCs w:val="20"/>
          <w:color w:val="auto"/>
        </w:rPr>
      </w:pPr>
    </w:p>
    <w:p>
      <w:pPr>
        <w:spacing w:after="0" w:line="24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829945</wp:posOffset>
            </wp:positionV>
            <wp:extent cx="12344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February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1014095</wp:posOffset>
            </wp:positionV>
            <wp:extent cx="52120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246380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lvl w:ilvl="1">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lowerRoman"/>
      <w:start w:val="3"/>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lowerRoman"/>
      <w:start w:val="1"/>
    </w:lvl>
  </w:abstractNum>
  <w:abstractNum w:abstractNumId="12">
    <w:nsid w:val="79838CB2"/>
    <w:multiLevelType w:val="hybridMultilevel"/>
    <w:lvl w:ilvl="0">
      <w:lvlJc w:val="left"/>
      <w:lvlText w:val="(%1)"/>
      <w:numFmt w:val="lowerRoman"/>
      <w:start w:val="3"/>
    </w:lvl>
  </w:abstractNum>
  <w:abstractNum w:abstractNumId="13">
    <w:nsid w:val="4353D0CD"/>
    <w:multiLevelType w:val="hybridMultilevel"/>
    <w:lvl w:ilvl="0">
      <w:lvlJc w:val="left"/>
      <w:lvlText w:val="(%1)"/>
      <w:numFmt w:val="lowerRoman"/>
      <w:start w:val="8"/>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2"/>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
      <w:numFmt w:val="bullet"/>
      <w:start w:val="1"/>
    </w:lvl>
    <w:lvl w:ilvl="1">
      <w:lvlJc w:val="left"/>
      <w:lvlText w:val="(%2)"/>
      <w:numFmt w:val="lowerRoman"/>
      <w:start w:val="3"/>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upperLetter"/>
      <w:start w:val="2"/>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jpe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jpe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26" Type="http://schemas.openxmlformats.org/officeDocument/2006/relationships/hyperlink" Target="https://www.sec.gov/ix?doc=/Archives/edgar/data/1743907/000095014223000188/eh230323322_8k.htm" TargetMode="External"/><Relationship Id="rId27" Type="http://schemas.openxmlformats.org/officeDocument/2006/relationships/hyperlink" Target="https://www.sec.gov/ix?doc=/Archives/edgar/data/1743907/000174390723000005/sncy-20230206.htm" TargetMode="External"/><Relationship Id="rId28" Type="http://schemas.openxmlformats.org/officeDocument/2006/relationships/hyperlink" Target="https://www.sec.gov/Archives/edgar/data/1743907/000119312521080721/d150407d8a12b.htm" TargetMode="External"/><Relationship Id="rId84" Type="http://schemas.openxmlformats.org/officeDocument/2006/relationships/hyperlink" Target="http://www.sec.gov/ix?doc=/Archives/edgar/data/1743907/000155837022001409/sncy-20211231x10k.htm" TargetMode="External"/><Relationship Id="rId85" Type="http://schemas.openxmlformats.org/officeDocument/2006/relationships/hyperlink" Target="http://www.sec.gov/ix?doc=/Archives/edgar/data/1743907/000155837022001517/sncy-20211231x10ka.htm" TargetMode="External"/><Relationship Id="rId86" Type="http://schemas.openxmlformats.org/officeDocument/2006/relationships/hyperlink" Target="http://www.sec.gov/Archives/edgar/data/1743907/000114036122017008/ny20002474x1_def14a.htm" TargetMode="External"/><Relationship Id="rId87" Type="http://schemas.openxmlformats.org/officeDocument/2006/relationships/hyperlink" Target="http://www.sec.gov/ix?doc=/Archives/edgar/data/1743907/000174390722000004/sncy-20220331.htm" TargetMode="External"/><Relationship Id="rId88" Type="http://schemas.openxmlformats.org/officeDocument/2006/relationships/hyperlink" Target="http://www.sec.gov/ix?doc=/Archives/edgar/data/1743907/000174390722000010/sncy-20220630.htm" TargetMode="External"/><Relationship Id="rId89" Type="http://schemas.openxmlformats.org/officeDocument/2006/relationships/hyperlink" Target="http://www.sec.gov/ix?doc=/Archives/edgar/data/1743907/000174390722000018/sncy-20220930.htm" TargetMode="External"/><Relationship Id="rId90" Type="http://schemas.openxmlformats.org/officeDocument/2006/relationships/hyperlink" Target="http://www.sec.gov/ix?doc=/Archives/edgar/data/1743907/000119312522095256/d331629d8k.htm" TargetMode="External"/><Relationship Id="rId91" Type="http://schemas.openxmlformats.org/officeDocument/2006/relationships/hyperlink" Target="http://www.sec.gov/ix?doc=/Archives/edgar/data/1743907/000095014222001526/eh220248099_8k.htm" TargetMode="External"/><Relationship Id="rId92" Type="http://schemas.openxmlformats.org/officeDocument/2006/relationships/hyperlink" Target="http://www.sec.gov/ix?doc=/Archives/edgar/data/1743907/000095014222001576/eh220250292_8ka1.htm" TargetMode="External"/><Relationship Id="rId93" Type="http://schemas.openxmlformats.org/officeDocument/2006/relationships/hyperlink" Target="http://www.sec.gov/ix?doc=/Archives/edgar/data/1743907/000095014222001872/eh220260912_8k.htm" TargetMode="External"/><Relationship Id="rId94" Type="http://schemas.openxmlformats.org/officeDocument/2006/relationships/hyperlink" Target="http://www.sec.gov/ix?doc=/Archives/edgar/data/1743907/000095014222001966/eh220263307_8k.htm" TargetMode="External"/><Relationship Id="rId95" Type="http://schemas.openxmlformats.org/officeDocument/2006/relationships/hyperlink" Target="http://www.sec.gov/ix?doc=/Archives/edgar/data/1743907/000095014222002892/eh220294245_8k.htm" TargetMode="External"/><Relationship Id="rId96" Type="http://schemas.openxmlformats.org/officeDocument/2006/relationships/hyperlink" Target="http://www.sec.gov/ix?doc=/Archives/edgar/data/1743907/000174390722000016/sncy-20221031.htm" TargetMode="External"/><Relationship Id="rId97" Type="http://schemas.openxmlformats.org/officeDocument/2006/relationships/hyperlink" Target="http://www.sec.gov/ix?doc=/Archives/edgar/data/1743907/000095014222003027/eh220300824_8k.htm" TargetMode="External"/><Relationship Id="rId98" Type="http://schemas.openxmlformats.org/officeDocument/2006/relationships/hyperlink" Target="http://www.sec.gov/Archives/edgar/data/1743907/000119312521080721/d150407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2023-02-17T17:12:40Z</dcterms:created>
  <dcterms:modified xsi:type="dcterms:W3CDTF">2023-02-17T17:12:40Z</dcterms:modified>
</cp:coreProperties>
</file>