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11, 2025</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48"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580" w:hanging="572"/>
        <w:spacing w:after="0" w:line="250" w:lineRule="auto"/>
        <w:tabs>
          <w:tab w:leader="none" w:pos="3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2025, Sun Country Airlines Holdings, Inc. (the “Company”) held its annual meeting of stockholders (the “Annual Meeting”). The matters voted upon at the Annual Meeting and the final results of such voting are set forth below. A more complete description of each proposal is set forth in the Company’s definitive proxy statement filed with the Securities and Exchange Commission on April 25, 2025.</w:t>
      </w:r>
    </w:p>
    <w:p>
      <w:pPr>
        <w:spacing w:after="0" w:line="199" w:lineRule="exact"/>
        <w:rPr>
          <w:rFonts w:ascii="Times New Roman" w:cs="Times New Roman" w:eastAsia="Times New Roman" w:hAnsi="Times New Roman"/>
          <w:sz w:val="18"/>
          <w:szCs w:val="18"/>
          <w:color w:val="auto"/>
        </w:rPr>
      </w:pPr>
    </w:p>
    <w:p>
      <w:pPr>
        <w:jc w:val="right"/>
        <w:ind w:left="580" w:hanging="572"/>
        <w:spacing w:after="0" w:line="244" w:lineRule="auto"/>
        <w:tabs>
          <w:tab w:leader="none" w:pos="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To reelect Thomas C. Kennedy, Gail Peterson, and Jennifer Vogel to the board of directors of the Company (the “Board”) as Class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 each case, for a term of three years expiring at the annual meeting of stockholders to be held in 2028. The Company’s stockholders duly elected Thomas C. Kennedy, Gail Peterson, and Jennifer Vogel, by at least a plurality of the votes cast, to serve as Class I directors until the</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annual meeting of stockholders and until his or her successor is duly elected and qualified. The results of the voting were as follows:</w:t>
      </w:r>
    </w:p>
    <w:p>
      <w:pPr>
        <w:spacing w:after="0" w:line="257" w:lineRule="exact"/>
        <w:rPr>
          <w:sz w:val="20"/>
          <w:szCs w:val="20"/>
          <w:color w:val="auto"/>
        </w:rPr>
      </w:pPr>
    </w:p>
    <w:tbl>
      <w:tblPr>
        <w:tblLayout w:type="fixed"/>
        <w:tblInd w:w="230" w:type="dxa"/>
        <w:tblCellMar>
          <w:top w:w="0" w:type="dxa"/>
          <w:left w:w="0" w:type="dxa"/>
          <w:bottom w:w="0" w:type="dxa"/>
          <w:right w:w="0" w:type="dxa"/>
        </w:tblCellMar>
      </w:tblPr>
      <w:tr>
        <w:trPr>
          <w:trHeight w:val="263"/>
        </w:trPr>
        <w:tc>
          <w:tcPr>
            <w:tcW w:w="270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0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0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4"/>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C. Kennedy</w:t>
            </w: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44,086,446</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2,539,803</w:t>
            </w:r>
          </w:p>
        </w:tc>
        <w:tc>
          <w:tcPr>
            <w:tcW w:w="2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3,100,554</w:t>
            </w:r>
          </w:p>
        </w:tc>
      </w:tr>
      <w:tr>
        <w:trPr>
          <w:trHeight w:val="22"/>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27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Gail Peterson</w:t>
            </w:r>
          </w:p>
        </w:tc>
        <w:tc>
          <w:tcPr>
            <w:tcW w:w="280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31,783,247</w:t>
            </w:r>
          </w:p>
        </w:tc>
        <w:tc>
          <w:tcPr>
            <w:tcW w:w="23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14,843,002</w:t>
            </w:r>
          </w:p>
        </w:tc>
        <w:tc>
          <w:tcPr>
            <w:tcW w:w="24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3,100,554</w:t>
            </w:r>
          </w:p>
        </w:tc>
      </w:tr>
      <w:tr>
        <w:trPr>
          <w:trHeight w:val="228"/>
        </w:trPr>
        <w:tc>
          <w:tcPr>
            <w:tcW w:w="27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Jennifer Vogel</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43,647,547</w:t>
            </w:r>
          </w:p>
        </w:tc>
        <w:tc>
          <w:tcPr>
            <w:tcW w:w="23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2,978,702</w:t>
            </w:r>
          </w:p>
        </w:tc>
        <w:tc>
          <w:tcPr>
            <w:tcW w:w="2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3,100,554</w:t>
            </w:r>
          </w:p>
        </w:tc>
      </w:tr>
      <w:tr>
        <w:trPr>
          <w:trHeight w:val="22"/>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580" w:right="20"/>
        <w:spacing w:after="0" w:line="271"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To approve, on a non-binding, advisory basis, the compensation of the Company’s named executive officers.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approved the compensation of the Company’s named executive officers. The results of the voting were as follows:</w:t>
      </w:r>
    </w:p>
    <w:p>
      <w:pPr>
        <w:spacing w:after="0" w:line="223" w:lineRule="exact"/>
        <w:rPr>
          <w:sz w:val="20"/>
          <w:szCs w:val="20"/>
          <w:color w:val="auto"/>
        </w:rPr>
      </w:pPr>
    </w:p>
    <w:tbl>
      <w:tblPr>
        <w:tblLayout w:type="fixed"/>
        <w:tblInd w:w="170" w:type="dxa"/>
        <w:tblCellMar>
          <w:top w:w="0" w:type="dxa"/>
          <w:left w:w="0" w:type="dxa"/>
          <w:bottom w:w="0" w:type="dxa"/>
          <w:right w:w="0" w:type="dxa"/>
        </w:tblCellMar>
      </w:tblPr>
      <w:tr>
        <w:trPr>
          <w:trHeight w:val="263"/>
        </w:trPr>
        <w:tc>
          <w:tcPr>
            <w:tcW w:w="298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6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8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4"/>
        </w:trPr>
        <w:tc>
          <w:tcPr>
            <w:tcW w:w="2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45,107,066</w:t>
            </w:r>
          </w:p>
        </w:tc>
        <w:tc>
          <w:tcPr>
            <w:tcW w:w="3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1,256,178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263,005</w:t>
            </w:r>
          </w:p>
        </w:tc>
        <w:tc>
          <w:tcPr>
            <w:tcW w:w="2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3,100,554</w:t>
            </w:r>
          </w:p>
        </w:tc>
      </w:tr>
      <w:tr>
        <w:trPr>
          <w:trHeight w:val="22"/>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left="580"/>
        <w:spacing w:after="0" w:line="252" w:lineRule="auto"/>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To ratify the appointment of KPMG LLP as the Company’s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The Company’s stockholders ratified the selection of KPMG LLP as the Company’s independent registered public accounting firm for the fiscal year ending December 31, 2025. The results of the voting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60" w:type="dxa"/>
            <w:vAlign w:val="bottom"/>
            <w:tcBorders>
              <w:right w:val="single" w:sz="8" w:color="auto"/>
            </w:tcBorders>
          </w:tcPr>
          <w:p>
            <w:pPr>
              <w:spacing w:after="0"/>
              <w:rPr>
                <w:sz w:val="22"/>
                <w:szCs w:val="22"/>
                <w:color w:val="auto"/>
              </w:rPr>
            </w:pPr>
          </w:p>
        </w:tc>
        <w:tc>
          <w:tcPr>
            <w:tcW w:w="29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2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2"/>
                <w:szCs w:val="22"/>
                <w:color w:val="auto"/>
              </w:rPr>
            </w:pPr>
          </w:p>
        </w:tc>
      </w:tr>
      <w:tr>
        <w:trPr>
          <w:trHeight w:val="234"/>
        </w:trPr>
        <w:tc>
          <w:tcPr>
            <w:tcW w:w="1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49,477,260</w:t>
            </w:r>
          </w:p>
        </w:tc>
        <w:tc>
          <w:tcPr>
            <w:tcW w:w="2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234,515</w:t>
            </w:r>
          </w:p>
        </w:tc>
        <w:tc>
          <w:tcPr>
            <w:tcW w:w="2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15,028</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8"/>
        </w:trPr>
        <w:tc>
          <w:tcPr>
            <w:tcW w:w="1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2025</w:t>
            </w:r>
          </w:p>
        </w:tc>
        <w:tc>
          <w:tcPr>
            <w:tcW w:w="80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00" w:type="dxa"/>
            <w:vAlign w:val="bottom"/>
          </w:tcPr>
          <w:p>
            <w:pPr>
              <w:spacing w:after="0"/>
              <w:rPr>
                <w:sz w:val="24"/>
                <w:szCs w:val="24"/>
                <w:color w:val="auto"/>
              </w:rPr>
            </w:pPr>
          </w:p>
        </w:tc>
        <w:tc>
          <w:tcPr>
            <w:tcW w:w="802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2025-06-13T07:09:24Z</dcterms:created>
  <dcterms:modified xsi:type="dcterms:W3CDTF">2025-06-13T07:09:24Z</dcterms:modified>
</cp:coreProperties>
</file>