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Neale Erin Rose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SVP, Chief Legal Officer</w:t>
      </w:r>
    </w:p>
    <w:p>
      <w:pPr>
        <w:spacing w:after="0" w:line="417" w:lineRule="exact"/>
        <w:rPr>
          <w:sz w:val="24"/>
          <w:szCs w:val="24"/>
          <w:color w:val="auto"/>
        </w:rPr>
      </w:pPr>
    </w:p>
    <w:p>
      <w:pPr>
        <w:sectPr>
          <w:pgSz w:w="11900" w:h="16838" w:orient="portrait"/>
          <w:cols w:equalWidth="0" w:num="3">
            <w:col w:w="3420" w:space="500"/>
            <w:col w:w="3200" w:space="61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2"/>
                <w:szCs w:val="12"/>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0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rPr>
              <w:t>01/12/2026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2,257</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17.526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38,931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Erin Rose Neale</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01/14/2026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5319"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2026-01-14T15:16:13Z</dcterms:created>
  <dcterms:modified xsi:type="dcterms:W3CDTF">2026-01-14T15:16:13Z</dcterms:modified>
</cp:coreProperties>
</file>