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5784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784850"/>
                    </a:xfrm>
                    <a:prstGeom prst="rect">
                      <a:avLst/>
                    </a:prstGeom>
                    <a:noFill/>
                  </pic:spPr>
                </pic:pic>
              </a:graphicData>
            </a:graphic>
          </wp:anchor>
        </w:drawing>
      </w:r>
    </w:p>
    <w:p>
      <w:pPr>
        <w:spacing w:after="0" w:line="1069" w:lineRule="exact"/>
        <w:rPr>
          <w:sz w:val="24"/>
          <w:szCs w:val="24"/>
          <w:color w:val="auto"/>
        </w:rPr>
      </w:pPr>
    </w:p>
    <w:p>
      <w:pPr>
        <w:sectPr>
          <w:pgSz w:w="11900" w:h="16838" w:orient="portrait"/>
          <w:cols w:equalWidth="0" w:num="2">
            <w:col w:w="2340" w:space="320"/>
            <w:col w:w="842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Snow Colton Matthew</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20"/>
        <w:spacing w:after="0" w:line="363" w:lineRule="auto"/>
        <w:rPr>
          <w:sz w:val="20"/>
          <w:szCs w:val="20"/>
          <w:color w:val="auto"/>
        </w:rPr>
      </w:pPr>
      <w:r>
        <w:rPr>
          <w:rFonts w:ascii="Times New Roman" w:cs="Times New Roman" w:eastAsia="Times New Roman" w:hAnsi="Times New Roman"/>
          <w:sz w:val="16"/>
          <w:szCs w:val="16"/>
          <w:color w:val="0000FF"/>
        </w:rPr>
        <w:t>C/O SUN COUNTRY AIRLINES HOLDINGS, INC. 2005 CARGO ROAD</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MINNEAPOLIS</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MN</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55450</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80" w:type="dxa"/>
            <w:vAlign w:val="bottom"/>
            <w:gridSpan w:val="3"/>
          </w:tcPr>
          <w:p>
            <w:pPr>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Sun Country Airlines Holdings, LLC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vMerge w:val="restart"/>
          </w:tcPr>
          <w:p>
            <w:pPr>
              <w:spacing w:after="0"/>
              <w:rPr>
                <w:sz w:val="12"/>
                <w:szCs w:val="12"/>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288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line="149"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line="14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420"/>
              <w:spacing w:after="0" w:line="176" w:lineRule="exact"/>
              <w:rPr>
                <w:sz w:val="20"/>
                <w:szCs w:val="20"/>
                <w:color w:val="auto"/>
              </w:rPr>
            </w:pPr>
            <w:r>
              <w:rPr>
                <w:rFonts w:ascii="Times New Roman" w:cs="Times New Roman" w:eastAsia="Times New Roman" w:hAnsi="Times New Roman"/>
                <w:sz w:val="16"/>
                <w:szCs w:val="16"/>
                <w:color w:val="0000FF"/>
              </w:rPr>
              <w:t>SVP, Chief Commercial Officer</w:t>
            </w:r>
          </w:p>
        </w:tc>
        <w:tc>
          <w:tcPr>
            <w:tcW w:w="0" w:type="dxa"/>
            <w:vAlign w:val="bottom"/>
          </w:tcPr>
          <w:p>
            <w:pPr>
              <w:spacing w:after="0"/>
              <w:rPr>
                <w:sz w:val="1"/>
                <w:szCs w:val="1"/>
                <w:color w:val="auto"/>
              </w:rPr>
            </w:pPr>
          </w:p>
        </w:tc>
      </w:tr>
      <w:tr>
        <w:trPr>
          <w:trHeight w:val="212"/>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05/13/2026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60" w:space="8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600" w:type="dxa"/>
            <w:vAlign w:val="bottom"/>
          </w:tcPr>
          <w:p>
            <w:pPr>
              <w:spacing w:after="0"/>
              <w:rPr>
                <w:sz w:val="13"/>
                <w:szCs w:val="13"/>
                <w:color w:val="auto"/>
              </w:rPr>
            </w:pPr>
          </w:p>
        </w:tc>
        <w:tc>
          <w:tcPr>
            <w:tcW w:w="21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Of (D) (Instr. 3, 4 and 5)</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96"/>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6"/>
                <w:szCs w:val="16"/>
                <w:color w:val="0000FF"/>
              </w:rPr>
              <w:t>05/13/2026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000" w:type="dxa"/>
            <w:vAlign w:val="bottom"/>
            <w:tcBorders>
              <w:bottom w:val="single" w:sz="8" w:color="2C2C2C"/>
            </w:tcBorders>
            <w:gridSpan w:val="2"/>
          </w:tcPr>
          <w:p>
            <w:pPr>
              <w:jc w:val="center"/>
              <w:spacing w:after="0" w:line="301" w:lineRule="exact"/>
              <w:rPr>
                <w:sz w:val="20"/>
                <w:szCs w:val="20"/>
                <w:color w:val="auto"/>
              </w:rPr>
            </w:pPr>
            <w:r>
              <w:rPr>
                <w:rFonts w:ascii="Times New Roman" w:cs="Times New Roman" w:eastAsia="Times New Roman" w:hAnsi="Times New Roman"/>
                <w:sz w:val="32"/>
                <w:szCs w:val="32"/>
                <w:color w:val="0000FF"/>
                <w:w w:val="89"/>
                <w:vertAlign w:val="subscript"/>
              </w:rPr>
              <w:t>33,175</w:t>
            </w:r>
            <w:r>
              <w:rPr>
                <w:rFonts w:ascii="Times New Roman" w:cs="Times New Roman" w:eastAsia="Times New Roman" w:hAnsi="Times New Roman"/>
                <w:sz w:val="10"/>
                <w:szCs w:val="10"/>
                <w:color w:val="008000"/>
                <w:w w:val="89"/>
              </w:rPr>
              <w:t>(1)(2)(3)(4)</w:t>
            </w:r>
          </w:p>
        </w:tc>
        <w:tc>
          <w:tcPr>
            <w:tcW w:w="5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0"/>
                <w:szCs w:val="10"/>
                <w:color w:val="008000"/>
              </w:rPr>
              <w:t>(1)(2)(3)(4)</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8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96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w w:val="96"/>
              </w:rPr>
              <w:t>(D) (Instr. 3, 4</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8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05/13/2026</w:t>
            </w:r>
          </w:p>
        </w:tc>
        <w:tc>
          <w:tcPr>
            <w:tcW w:w="1100" w:type="dxa"/>
            <w:vAlign w:val="bottom"/>
          </w:tcPr>
          <w:p>
            <w:pPr>
              <w:spacing w:after="0"/>
              <w:rPr>
                <w:sz w:val="12"/>
                <w:szCs w:val="12"/>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6,795</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(1)(2)(5)</w:t>
            </w:r>
          </w:p>
        </w:tc>
        <w:tc>
          <w:tcPr>
            <w:tcW w:w="880" w:type="dxa"/>
            <w:vAlign w:val="bottom"/>
            <w:vMerge w:val="restart"/>
          </w:tcPr>
          <w:p>
            <w:pPr>
              <w:jc w:val="center"/>
              <w:ind w:left="103"/>
              <w:spacing w:after="0"/>
              <w:rPr>
                <w:sz w:val="20"/>
                <w:szCs w:val="20"/>
                <w:color w:val="auto"/>
              </w:rPr>
            </w:pPr>
            <w:r>
              <w:rPr>
                <w:rFonts w:ascii="Times New Roman" w:cs="Times New Roman" w:eastAsia="Times New Roman" w:hAnsi="Times New Roman"/>
                <w:sz w:val="13"/>
                <w:szCs w:val="13"/>
                <w:color w:val="0000FF"/>
                <w:w w:val="94"/>
              </w:rPr>
              <w:t>11/07/2028</w:t>
            </w: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6"/>
                <w:szCs w:val="16"/>
                <w:color w:val="0000FF"/>
                <w:w w:val="99"/>
              </w:rPr>
              <w:t>6,795</w:t>
            </w:r>
          </w:p>
        </w:tc>
        <w:tc>
          <w:tcPr>
            <w:tcW w:w="40" w:type="dxa"/>
            <w:vAlign w:val="bottom"/>
          </w:tcPr>
          <w:p>
            <w:pPr>
              <w:spacing w:after="0"/>
              <w:rPr>
                <w:sz w:val="12"/>
                <w:szCs w:val="12"/>
                <w:color w:val="auto"/>
              </w:rPr>
            </w:pPr>
          </w:p>
        </w:tc>
        <w:tc>
          <w:tcPr>
            <w:tcW w:w="68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0"/>
                <w:szCs w:val="10"/>
                <w:color w:val="008000"/>
              </w:rPr>
              <w:t>(1)(2)(5)</w:t>
            </w:r>
          </w:p>
        </w:tc>
        <w:tc>
          <w:tcPr>
            <w:tcW w:w="580" w:type="dxa"/>
            <w:vAlign w:val="bottom"/>
            <w:vMerge w:val="restart"/>
          </w:tcPr>
          <w:p>
            <w:pPr>
              <w:jc w:val="center"/>
              <w:ind w:left="182"/>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16"/>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05/13/2026</w:t>
            </w:r>
          </w:p>
        </w:tc>
        <w:tc>
          <w:tcPr>
            <w:tcW w:w="1100" w:type="dxa"/>
            <w:vAlign w:val="bottom"/>
          </w:tcPr>
          <w:p>
            <w:pPr>
              <w:spacing w:after="0"/>
              <w:rPr>
                <w:sz w:val="12"/>
                <w:szCs w:val="12"/>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6,815</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(1)(2)(5)</w:t>
            </w:r>
          </w:p>
        </w:tc>
        <w:tc>
          <w:tcPr>
            <w:tcW w:w="880" w:type="dxa"/>
            <w:vAlign w:val="bottom"/>
            <w:vMerge w:val="restart"/>
          </w:tcPr>
          <w:p>
            <w:pPr>
              <w:jc w:val="center"/>
              <w:ind w:left="103"/>
              <w:spacing w:after="0"/>
              <w:rPr>
                <w:sz w:val="20"/>
                <w:szCs w:val="20"/>
                <w:color w:val="auto"/>
              </w:rPr>
            </w:pPr>
            <w:r>
              <w:rPr>
                <w:rFonts w:ascii="Times New Roman" w:cs="Times New Roman" w:eastAsia="Times New Roman" w:hAnsi="Times New Roman"/>
                <w:sz w:val="13"/>
                <w:szCs w:val="13"/>
                <w:color w:val="0000FF"/>
                <w:w w:val="94"/>
              </w:rPr>
              <w:t>04/17/2029</w:t>
            </w: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6"/>
                <w:szCs w:val="16"/>
                <w:color w:val="0000FF"/>
                <w:w w:val="99"/>
              </w:rPr>
              <w:t>6,815</w:t>
            </w:r>
          </w:p>
        </w:tc>
        <w:tc>
          <w:tcPr>
            <w:tcW w:w="40" w:type="dxa"/>
            <w:vAlign w:val="bottom"/>
          </w:tcPr>
          <w:p>
            <w:pPr>
              <w:spacing w:after="0"/>
              <w:rPr>
                <w:sz w:val="12"/>
                <w:szCs w:val="12"/>
                <w:color w:val="auto"/>
              </w:rPr>
            </w:pPr>
          </w:p>
        </w:tc>
        <w:tc>
          <w:tcPr>
            <w:tcW w:w="68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0"/>
                <w:szCs w:val="10"/>
                <w:color w:val="008000"/>
              </w:rPr>
              <w:t>(1)(2)(5)</w:t>
            </w:r>
          </w:p>
        </w:tc>
        <w:tc>
          <w:tcPr>
            <w:tcW w:w="580" w:type="dxa"/>
            <w:vAlign w:val="bottom"/>
            <w:vMerge w:val="restart"/>
          </w:tcPr>
          <w:p>
            <w:pPr>
              <w:jc w:val="center"/>
              <w:ind w:left="182"/>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6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center"/>
              <w:ind w:right="116"/>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(1)(2)(6)</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(1)(2)(6)</w:t>
            </w:r>
          </w:p>
        </w:tc>
        <w:tc>
          <w:tcPr>
            <w:tcW w:w="880" w:type="dxa"/>
            <w:vAlign w:val="bottom"/>
            <w:vMerge w:val="restart"/>
          </w:tcPr>
          <w:p>
            <w:pPr>
              <w:jc w:val="center"/>
              <w:ind w:left="103"/>
              <w:spacing w:after="0"/>
              <w:rPr>
                <w:sz w:val="20"/>
                <w:szCs w:val="20"/>
                <w:color w:val="auto"/>
              </w:rPr>
            </w:pPr>
            <w:r>
              <w:rPr>
                <w:rFonts w:ascii="Times New Roman" w:cs="Times New Roman" w:eastAsia="Times New Roman" w:hAnsi="Times New Roman"/>
                <w:sz w:val="10"/>
                <w:szCs w:val="10"/>
                <w:color w:val="008000"/>
              </w:rPr>
              <w:t>(1)(2)(6)</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6"/>
                <w:szCs w:val="16"/>
                <w:color w:val="0000FF"/>
                <w:w w:val="99"/>
              </w:rPr>
              <w:t>32,291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0"/>
                <w:szCs w:val="10"/>
                <w:color w:val="008000"/>
              </w:rPr>
              <w:t>(1)(2)(6)</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05/13/2026</w:t>
            </w:r>
          </w:p>
        </w:tc>
        <w:tc>
          <w:tcPr>
            <w:tcW w:w="1100" w:type="dxa"/>
            <w:vAlign w:val="bottom"/>
          </w:tcPr>
          <w:p>
            <w:pPr>
              <w:spacing w:after="0"/>
              <w:rPr>
                <w:sz w:val="10"/>
                <w:szCs w:val="10"/>
                <w:color w:val="auto"/>
              </w:rPr>
            </w:pPr>
          </w:p>
        </w:tc>
        <w:tc>
          <w:tcPr>
            <w:tcW w:w="5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10"/>
                <w:szCs w:val="10"/>
                <w:color w:val="auto"/>
              </w:rPr>
            </w:pPr>
          </w:p>
        </w:tc>
        <w:tc>
          <w:tcPr>
            <w:tcW w:w="50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0000FF"/>
              </w:rPr>
              <w:t>32,291</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center"/>
              <w:ind w:left="182"/>
              <w:spacing w:after="0" w:line="126" w:lineRule="exact"/>
              <w:rPr>
                <w:sz w:val="20"/>
                <w:szCs w:val="20"/>
                <w:color w:val="auto"/>
              </w:rPr>
            </w:pPr>
            <w:r>
              <w:rPr>
                <w:rFonts w:ascii="Times New Roman" w:cs="Times New Roman" w:eastAsia="Times New Roman" w:hAnsi="Times New Roman"/>
                <w:sz w:val="13"/>
                <w:szCs w:val="13"/>
                <w:color w:val="0000FF"/>
                <w:w w:val="94"/>
              </w:rPr>
              <w:t>32,291</w:t>
            </w:r>
          </w:p>
        </w:tc>
        <w:tc>
          <w:tcPr>
            <w:tcW w:w="280" w:type="dxa"/>
            <w:vAlign w:val="bottom"/>
          </w:tcPr>
          <w:p>
            <w:pPr>
              <w:spacing w:after="0"/>
              <w:rPr>
                <w:sz w:val="10"/>
                <w:szCs w:val="10"/>
                <w:color w:val="auto"/>
              </w:rPr>
            </w:pPr>
          </w:p>
        </w:tc>
        <w:tc>
          <w:tcPr>
            <w:tcW w:w="640" w:type="dxa"/>
            <w:vAlign w:val="bottom"/>
          </w:tcPr>
          <w:p>
            <w:pPr>
              <w:ind w:left="30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16"/>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(1)(2)(6)</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color w:val="008000"/>
              </w:rPr>
              <w:t>(1)(2)(6)</w:t>
            </w:r>
          </w:p>
        </w:tc>
        <w:tc>
          <w:tcPr>
            <w:tcW w:w="880" w:type="dxa"/>
            <w:vAlign w:val="bottom"/>
            <w:vMerge w:val="restart"/>
          </w:tcPr>
          <w:p>
            <w:pPr>
              <w:jc w:val="center"/>
              <w:ind w:left="103"/>
              <w:spacing w:after="0"/>
              <w:rPr>
                <w:sz w:val="20"/>
                <w:szCs w:val="20"/>
                <w:color w:val="auto"/>
              </w:rPr>
            </w:pPr>
            <w:r>
              <w:rPr>
                <w:rFonts w:ascii="Times New Roman" w:cs="Times New Roman" w:eastAsia="Times New Roman" w:hAnsi="Times New Roman"/>
                <w:sz w:val="10"/>
                <w:szCs w:val="10"/>
                <w:color w:val="008000"/>
              </w:rPr>
              <w:t>(1)(2)(6)</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5"/>
              <w:spacing w:after="0"/>
              <w:rPr>
                <w:sz w:val="20"/>
                <w:szCs w:val="20"/>
                <w:color w:val="auto"/>
              </w:rPr>
            </w:pPr>
            <w:r>
              <w:rPr>
                <w:rFonts w:ascii="Times New Roman" w:cs="Times New Roman" w:eastAsia="Times New Roman" w:hAnsi="Times New Roman"/>
                <w:sz w:val="16"/>
                <w:szCs w:val="16"/>
                <w:color w:val="0000FF"/>
                <w:w w:val="99"/>
              </w:rPr>
              <w:t>32,291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0"/>
                <w:szCs w:val="10"/>
                <w:color w:val="008000"/>
              </w:rPr>
              <w:t>(1)(2)(6)</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05/13/2026</w:t>
            </w:r>
          </w:p>
        </w:tc>
        <w:tc>
          <w:tcPr>
            <w:tcW w:w="1100" w:type="dxa"/>
            <w:vAlign w:val="bottom"/>
          </w:tcPr>
          <w:p>
            <w:pPr>
              <w:spacing w:after="0"/>
              <w:rPr>
                <w:sz w:val="10"/>
                <w:szCs w:val="10"/>
                <w:color w:val="auto"/>
              </w:rPr>
            </w:pPr>
          </w:p>
        </w:tc>
        <w:tc>
          <w:tcPr>
            <w:tcW w:w="5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32,291</w:t>
            </w:r>
          </w:p>
        </w:tc>
        <w:tc>
          <w:tcPr>
            <w:tcW w:w="6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center"/>
              <w:ind w:left="182"/>
              <w:spacing w:after="0" w:line="126"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0"/>
                <w:szCs w:val="10"/>
                <w:color w:val="auto"/>
              </w:rPr>
            </w:pPr>
          </w:p>
        </w:tc>
        <w:tc>
          <w:tcPr>
            <w:tcW w:w="640" w:type="dxa"/>
            <w:vAlign w:val="bottom"/>
          </w:tcPr>
          <w:p>
            <w:pPr>
              <w:ind w:left="30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16"/>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-3003550</wp:posOffset>
            </wp:positionV>
            <wp:extent cx="28575" cy="3008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0086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2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 (b)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38" w:lineRule="exact"/>
        <w:rPr>
          <w:rFonts w:ascii="Times New Roman" w:cs="Times New Roman" w:eastAsia="Times New Roman" w:hAnsi="Times New Roman"/>
          <w:sz w:val="13"/>
          <w:szCs w:val="13"/>
          <w:color w:val="008000"/>
        </w:rPr>
      </w:pPr>
    </w:p>
    <w:p>
      <w:pPr>
        <w:ind w:left="40" w:right="38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6,319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5" w:lineRule="exact"/>
        <w:rPr>
          <w:rFonts w:ascii="Times New Roman" w:cs="Times New Roman" w:eastAsia="Times New Roman" w:hAnsi="Times New Roman"/>
          <w:sz w:val="13"/>
          <w:szCs w:val="13"/>
          <w:color w:val="008000"/>
        </w:rPr>
      </w:pPr>
    </w:p>
    <w:p>
      <w:pPr>
        <w:ind w:left="40" w:right="18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26,856 restricted stock units previously granted to the reporting person, which, as of immediately prior to the First Effective Time, was assumed and converted into an Allegiant restricted stock unit award ("Parent RSU Award") covering a number of Parent Shares equal to the product of (x) the number of Company Shares underlying such Company RSU Award and (y) the quotient obtained by dividing the Merger Consideration Closing Value by the Parent Measurement Price, rounded down to the nearest whole share. The Parent RSU Awards will continue to have the same terms and conditions as the Company RSU Awards, including any double-trigger vesting protections.</w:t>
      </w:r>
    </w:p>
    <w:p>
      <w:pPr>
        <w:spacing w:after="0" w:line="24"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stock option to purchase Company Shares previously granted to the reporting person, which, as of immediately prior to the First Effective Time, was automatically converted into stock option(s) for Parent Shares, regardless of exercise price (the "Converted Options" and each a "Converted Option"). Each Converted Option covers a number of Parent Shares equal to the product of (x) the number of Company Shares subject to the original Company Option and (y) the quotient obtained by dividing the Merger Consideration Closing Value by the Parent Measurement Price, rounded down to the nearest whole share, with a corresponding adjusted exercise price equal to the product of (A) the original exercise price per share and (B) the quotient obtained by dividing the Parent Measurement Price by the Merger Consideration Closing Value, rounded up to the nearest whole cent and otherwise remains subject to the same terms and conditions as the original grant.</w:t>
      </w:r>
    </w:p>
    <w:p>
      <w:pPr>
        <w:spacing w:after="0" w:line="24"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performance-based restricted stock unit award ("Company PRSU Award") previously granted to the reporting person, which, as of immediately prior to the First Effective Time, was assumed and converted into an Allegiant time-based restricted stock unit award ("Parent PRSU Award"), covering a number of Parent Shares equal to the quotient obtained by dividing (i) the product of (A) the number of Company Shares underlying such Company PRSU Award (deemed to be equal to 125% of the 'target' amount granted) and (B) the Merger Consideration Closing Value, by (ii) the Parent Measurement Price, rounded down to the nearest whole share. The Parent PRSU Awards will continue to have the same terms and conditions as the Company PRSU Awards, including any double-trigger vesting protections, but not any performance-based vesting conditions.</w:t>
      </w:r>
    </w:p>
    <w:p>
      <w:pPr>
        <w:spacing w:after="0" w:line="4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Rose Neale, as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05/15/2026</w:t>
            </w:r>
          </w:p>
        </w:tc>
        <w:tc>
          <w:tcPr>
            <w:tcW w:w="0" w:type="dxa"/>
            <w:vAlign w:val="bottom"/>
          </w:tcPr>
          <w:p>
            <w:pPr>
              <w:spacing w:after="0"/>
              <w:rPr>
                <w:sz w:val="1"/>
                <w:szCs w:val="1"/>
                <w:color w:val="auto"/>
              </w:rPr>
            </w:pPr>
          </w:p>
        </w:tc>
      </w:tr>
      <w:tr>
        <w:trPr>
          <w:trHeight w:val="85"/>
        </w:trPr>
        <w:tc>
          <w:tcPr>
            <w:tcW w:w="196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Colton Snow</w:t>
            </w:r>
          </w:p>
        </w:tc>
        <w:tc>
          <w:tcPr>
            <w:tcW w:w="24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6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5" w:right="359" w:bottom="0" w:gutter="0" w:footer="0" w:header="0"/>
          <w:type w:val="continuous"/>
        </w:sectPr>
      </w:pPr>
    </w:p>
    <w:bookmarkStart w:id="1" w:name="page2"/>
    <w:bookmarkEnd w:id="1"/>
    <w:p>
      <w:pPr>
        <w:jc w:val="both"/>
        <w:ind w:left="2" w:right="2719" w:hanging="2"/>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887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2026-05-15T19:22:01Z</dcterms:created>
  <dcterms:modified xsi:type="dcterms:W3CDTF">2026-05-15T19:22:01Z</dcterms:modified>
</cp:coreProperties>
</file>