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Kennedy Thomas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LLC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2"/>
                <w:szCs w:val="12"/>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gridSpan w:val="2"/>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05/13/2026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D</w:t>
            </w:r>
          </w:p>
        </w:tc>
        <w:tc>
          <w:tcPr>
            <w:tcW w:w="1300" w:type="dxa"/>
            <w:vAlign w:val="bottom"/>
            <w:tcBorders>
              <w:bottom w:val="single" w:sz="8" w:color="2C2C2C"/>
            </w:tcBorders>
            <w:gridSpan w:val="2"/>
          </w:tcPr>
          <w:p>
            <w:pPr>
              <w:ind w:left="80"/>
              <w:spacing w:after="0" w:line="320" w:lineRule="exact"/>
              <w:rPr>
                <w:sz w:val="20"/>
                <w:szCs w:val="20"/>
                <w:color w:val="auto"/>
              </w:rPr>
            </w:pPr>
            <w:r>
              <w:rPr>
                <w:rFonts w:ascii="Times New Roman" w:cs="Times New Roman" w:eastAsia="Times New Roman" w:hAnsi="Times New Roman"/>
                <w:sz w:val="34"/>
                <w:szCs w:val="34"/>
                <w:color w:val="0000FF"/>
                <w:vertAlign w:val="subscript"/>
              </w:rPr>
              <w:t>37,862</w:t>
            </w:r>
            <w:r>
              <w:rPr>
                <w:rFonts w:ascii="Times New Roman" w:cs="Times New Roman" w:eastAsia="Times New Roman" w:hAnsi="Times New Roman"/>
                <w:sz w:val="11"/>
                <w:szCs w:val="11"/>
                <w:color w:val="008000"/>
              </w:rPr>
              <w:t>(1)(2)(3)(4)</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1"/>
                <w:szCs w:val="11"/>
                <w:color w:val="008000"/>
              </w:rPr>
              <w:t>(1)(2)(3)(4)</w:t>
            </w:r>
          </w:p>
        </w:tc>
        <w:tc>
          <w:tcPr>
            <w:tcW w:w="4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13, 2026, pursuant to the Agreement and Plan of Merger (the "Merger Agreement"), dated as of January 11, 2026, by and among Sun Country Airlines Holdings, Inc. ("Sun Country" ), Allegiant Travel Company ("Allegiant"), Mirage Merger Sub, Inc. ("Merger Sub 1") and a direct wholly owned subsidiary of Allegiant, Sawdust Merger Sub, LLC ("Merger Sub 2"), a direct wholly owned subsidiary of Allegiant: (a) Merger Sub 1 merged with and into Sun Country (the "First Merger"), with Sun Country surviving the First Merger as a direct wholly owned subsidiary of Allegiant and</w:t>
      </w:r>
    </w:p>
    <w:p>
      <w:pPr>
        <w:spacing w:after="0" w:line="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 immediately after the First Merger, Sun Country merged with and into Merger Sub 2, with Merger Sub 2 surviving as a direct, wholly owned subsidiary of Allegiant (the "Second Merger" and, together with the First Merger, the "Mergers"). All terms capitalized but not defined herein shall have the meaning given to them in the Merger Agreement.</w:t>
      </w:r>
    </w:p>
    <w:p>
      <w:pPr>
        <w:spacing w:after="0" w:line="2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Following consummation of the Mergers, Sun Country Airlines Holdings, Inc. is now known as Sun Country Airlines Holdings, LLC.</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27,472 shares of Sun Country common stock ("Company Shares"), par value $0.01 per share, held directly by the reporting person, which, as of the effective time of the First Merger (the "First Effective Time") were converted into the right to receive (a) $4.10 in cash, without interest (the "Per Share Cash Consideration") and (b) 0.1557 (the "Merger Exchange Ratio") shares of Allegiant common stock ("Parent Shares"), par value $0.001 per share (the "Per Share Stock Consideration" and, together with the Per Share Cash Consideration, the "Merger Consideration").</w:t>
      </w:r>
    </w:p>
    <w:p>
      <w:pPr>
        <w:spacing w:after="0" w:line="20" w:lineRule="exact"/>
        <w:rPr>
          <w:rFonts w:ascii="Times New Roman" w:cs="Times New Roman" w:eastAsia="Times New Roman" w:hAnsi="Times New Roman"/>
          <w:sz w:val="13"/>
          <w:szCs w:val="13"/>
          <w:color w:val="008000"/>
        </w:rPr>
      </w:pPr>
    </w:p>
    <w:p>
      <w:pPr>
        <w:ind w:left="40" w:right="6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restricted stock unit award ("Company RSU Award") consisting of 10,390 restricted stock units previously granted to the reporting person, which, as of immediately prior to the First Effective Time, such Company RSU Awards became fully vested (to the extent not yet vested) and were cancelled and converted into the right to receive the Merger Consideration.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Thomas Kennedy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7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71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3661"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2026-05-15T19:44:27Z</dcterms:created>
  <dcterms:modified xsi:type="dcterms:W3CDTF">2026-05-15T19:44:27Z</dcterms:modified>
</cp:coreProperties>
</file>