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2024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2" w:lineRule="exact"/>
        <w:rPr>
          <w:sz w:val="24"/>
          <w:szCs w:val="24"/>
          <w:color w:val="auto"/>
        </w:rPr>
      </w:pPr>
    </w:p>
    <w:p>
      <w:pPr>
        <w:ind w:left="4300" w:right="2500" w:hanging="4274"/>
        <w:spacing w:after="0" w:line="585"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-97155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2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5"/>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01" w:lineRule="exact"/>
        <w:rPr>
          <w:sz w:val="24"/>
          <w:szCs w:val="24"/>
          <w:color w:val="auto"/>
        </w:rPr>
      </w:pPr>
    </w:p>
    <w:p>
      <w:pPr>
        <w:ind w:right="180" w:firstLine="324"/>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360" w:firstLine="324"/>
        <w:spacing w:after="0" w:line="30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40" w:firstLine="324"/>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59"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3">
            <w:col w:w="5620" w:space="720"/>
            <w:col w:w="2620" w:space="720"/>
            <w:col w:w="1560"/>
          </w:cols>
          <w:pgMar w:left="320" w:top="512"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12" w:right="339" w:bottom="1440" w:gutter="0" w:footer="0" w:header="0"/>
          <w:type w:val="continuous"/>
        </w:sectPr>
      </w:pPr>
    </w:p>
    <w:p>
      <w:pPr>
        <w:spacing w:after="0" w:line="90" w:lineRule="exact"/>
        <w:rPr>
          <w:sz w:val="24"/>
          <w:szCs w:val="24"/>
          <w:color w:val="auto"/>
        </w:rPr>
      </w:pPr>
    </w:p>
    <w:p>
      <w:pPr>
        <w:ind w:right="540" w:firstLine="324"/>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2" w:lineRule="exact"/>
        <w:rPr>
          <w:sz w:val="24"/>
          <w:szCs w:val="24"/>
          <w:color w:val="auto"/>
        </w:rPr>
      </w:pP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June 30, 2024:</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52,807,083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40"/>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3"/>
            <w:vMerge w:val="restart"/>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6"/>
            <w:vMerge w:val="restart"/>
          </w:tcPr>
          <w:p>
            <w:pPr>
              <w:spacing w:after="0"/>
              <w:rPr>
                <w:sz w:val="21"/>
                <w:szCs w:val="2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380" w:type="dxa"/>
            <w:vAlign w:val="bottom"/>
            <w:tcBorders>
              <w:bottom w:val="single" w:sz="8" w:color="0000FF"/>
            </w:tcBorders>
            <w:gridSpan w:val="23"/>
            <w:vMerge w:val="continue"/>
          </w:tcPr>
          <w:p>
            <w:pPr>
              <w:spacing w:after="0"/>
              <w:rPr>
                <w:sz w:val="14"/>
                <w:szCs w:val="14"/>
                <w:color w:val="auto"/>
              </w:rPr>
            </w:pPr>
          </w:p>
        </w:tc>
        <w:tc>
          <w:tcPr>
            <w:tcW w:w="7820" w:type="dxa"/>
            <w:vAlign w:val="bottom"/>
            <w:gridSpan w:val="16"/>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5"/>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84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7"/>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30"/>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24"/>
                <w:szCs w:val="24"/>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gridSpan w:val="6"/>
          </w:tcPr>
          <w:p>
            <w:pPr>
              <w:spacing w:after="0"/>
              <w:rPr>
                <w:sz w:val="17"/>
                <w:szCs w:val="17"/>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7"/>
                <w:szCs w:val="17"/>
                <w:color w:val="auto"/>
              </w:rPr>
            </w:pPr>
          </w:p>
        </w:tc>
        <w:tc>
          <w:tcPr>
            <w:tcW w:w="7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7"/>
              </w:rPr>
              <w:t>Revenue</w:t>
            </w:r>
          </w:p>
        </w:tc>
        <w:tc>
          <w:tcPr>
            <w:tcW w:w="8740" w:type="dxa"/>
            <w:vAlign w:val="bottom"/>
            <w:gridSpan w:val="26"/>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15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1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2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7"/>
              </w:rPr>
              <w:t>Income Taxes</w:t>
            </w:r>
          </w:p>
        </w:tc>
        <w:tc>
          <w:tcPr>
            <w:tcW w:w="920" w:type="dxa"/>
            <w:vAlign w:val="bottom"/>
            <w:tcBorders>
              <w:top w:val="single" w:sz="8" w:color="0000FF"/>
            </w:tcBorders>
            <w:gridSpan w:val="11"/>
          </w:tcPr>
          <w:p>
            <w:pPr>
              <w:spacing w:after="0"/>
              <w:rPr>
                <w:sz w:val="18"/>
                <w:szCs w:val="18"/>
                <w:color w:val="auto"/>
              </w:rPr>
            </w:pPr>
          </w:p>
        </w:tc>
        <w:tc>
          <w:tcPr>
            <w:tcW w:w="742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16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Stockholders' Equity</w:t>
            </w:r>
          </w:p>
        </w:tc>
        <w:tc>
          <w:tcPr>
            <w:tcW w:w="7840" w:type="dxa"/>
            <w:vAlign w:val="bottom"/>
            <w:gridSpan w:val="17"/>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9"/>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10</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11</w:t>
            </w:r>
          </w:p>
        </w:tc>
        <w:tc>
          <w:tcPr>
            <w:tcW w:w="100" w:type="dxa"/>
            <w:vAlign w:val="bottom"/>
          </w:tcPr>
          <w:p>
            <w:pPr>
              <w:spacing w:after="0"/>
              <w:rPr>
                <w:sz w:val="18"/>
                <w:szCs w:val="18"/>
                <w:color w:val="auto"/>
              </w:rPr>
            </w:pPr>
          </w:p>
        </w:tc>
        <w:tc>
          <w:tcPr>
            <w:tcW w:w="9460" w:type="dxa"/>
            <w:vAlign w:val="bottom"/>
            <w:gridSpan w:val="32"/>
          </w:tcPr>
          <w:p>
            <w:pPr>
              <w:spacing w:after="0"/>
              <w:rPr>
                <w:sz w:val="20"/>
                <w:szCs w:val="20"/>
                <w:color w:val="auto"/>
              </w:rPr>
            </w:pPr>
            <w:r>
              <w:rPr>
                <w:rFonts w:ascii="Arial" w:cs="Arial" w:eastAsia="Arial" w:hAnsi="Arial"/>
                <w:sz w:val="18"/>
                <w:szCs w:val="18"/>
                <w:color w:val="0000FF"/>
              </w:rPr>
              <w:t>Operating Segments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15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Subsequent Events</w:t>
            </w:r>
          </w:p>
        </w:tc>
        <w:tc>
          <w:tcPr>
            <w:tcW w:w="7900" w:type="dxa"/>
            <w:vAlign w:val="bottom"/>
            <w:gridSpan w:val="1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7"/>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4"/>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60" w:type="dxa"/>
            <w:vAlign w:val="bottom"/>
            <w:gridSpan w:val="21"/>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2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5"/>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9"/>
          </w:tcPr>
          <w:p>
            <w:pPr>
              <w:spacing w:after="0"/>
              <w:rPr>
                <w:sz w:val="18"/>
                <w:szCs w:val="18"/>
                <w:color w:val="auto"/>
              </w:rPr>
            </w:pPr>
          </w:p>
        </w:tc>
        <w:tc>
          <w:tcPr>
            <w:tcW w:w="750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8"/>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2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200" w:type="dxa"/>
            <w:vAlign w:val="bottom"/>
            <w:gridSpan w:val="39"/>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29"/>
          </w:tcPr>
          <w:p>
            <w:pPr>
              <w:jc w:val="center"/>
              <w:ind w:left="42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54"/>
        </w:trPr>
        <w:tc>
          <w:tcPr>
            <w:tcW w:w="7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0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26,864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46,279</w:t>
            </w:r>
          </w:p>
        </w:tc>
      </w:tr>
      <w:tr>
        <w:trPr>
          <w:trHeight w:val="217"/>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17,401</w:t>
            </w:r>
          </w:p>
        </w:tc>
      </w:tr>
      <w:tr>
        <w:trPr>
          <w:trHeight w:val="215"/>
        </w:trPr>
        <w:tc>
          <w:tcPr>
            <w:tcW w:w="720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108,301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141,127</w:t>
            </w:r>
          </w:p>
        </w:tc>
      </w:tr>
      <w:tr>
        <w:trPr>
          <w:trHeight w:val="217"/>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$37 and $17, respectively</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38,166</w:t>
            </w:r>
          </w:p>
        </w:tc>
      </w:tr>
      <w:tr>
        <w:trPr>
          <w:trHeight w:val="215"/>
        </w:trPr>
        <w:tc>
          <w:tcPr>
            <w:tcW w:w="720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217"/>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$703 and $977, respectively</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7,793</w:t>
            </w:r>
          </w:p>
        </w:tc>
      </w:tr>
      <w:tr>
        <w:trPr>
          <w:trHeight w:val="215"/>
        </w:trPr>
        <w:tc>
          <w:tcPr>
            <w:tcW w:w="720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15,040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15,823</w:t>
            </w:r>
          </w:p>
        </w:tc>
      </w:tr>
      <w:tr>
        <w:trPr>
          <w:trHeight w:val="217"/>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w:t>
            </w:r>
          </w:p>
        </w:tc>
      </w:tr>
      <w:tr>
        <w:trPr>
          <w:trHeight w:val="248"/>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271,351</w:t>
            </w:r>
          </w:p>
        </w:tc>
      </w:tr>
      <w:tr>
        <w:trPr>
          <w:trHeight w:val="216"/>
        </w:trPr>
        <w:tc>
          <w:tcPr>
            <w:tcW w:w="720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3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685,559</w:t>
            </w:r>
          </w:p>
        </w:tc>
      </w:tr>
      <w:tr>
        <w:trPr>
          <w:trHeight w:val="215"/>
        </w:trPr>
        <w:tc>
          <w:tcPr>
            <w:tcW w:w="7200" w:type="dxa"/>
            <w:vAlign w:val="bottom"/>
          </w:tcPr>
          <w:p>
            <w:pPr>
              <w:ind w:left="140"/>
              <w:spacing w:after="0"/>
              <w:rPr>
                <w:sz w:val="20"/>
                <w:szCs w:val="20"/>
                <w:color w:val="auto"/>
              </w:rPr>
            </w:pPr>
            <w:r>
              <w:rPr>
                <w:rFonts w:ascii="Arial" w:cs="Arial" w:eastAsia="Arial" w:hAnsi="Arial"/>
                <w:sz w:val="16"/>
                <w:szCs w:val="16"/>
                <w:color w:val="auto"/>
              </w:rPr>
              <w:t>Aircraft and Flight Equipment Held for Operating Lease</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154,175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154,185</w:t>
            </w:r>
          </w:p>
        </w:tc>
      </w:tr>
      <w:tr>
        <w:trPr>
          <w:trHeight w:val="21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39,847</w:t>
            </w:r>
          </w:p>
        </w:tc>
      </w:tr>
      <w:tr>
        <w:trPr>
          <w:trHeight w:val="215"/>
        </w:trPr>
        <w:tc>
          <w:tcPr>
            <w:tcW w:w="7200" w:type="dxa"/>
            <w:vAlign w:val="bottom"/>
          </w:tcPr>
          <w:p>
            <w:pPr>
              <w:ind w:left="1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17,875</w:t>
            </w:r>
          </w:p>
        </w:tc>
      </w:tr>
      <w:tr>
        <w:trPr>
          <w:trHeight w:val="21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Assets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304,384</w:t>
            </w:r>
          </w:p>
        </w:tc>
      </w:tr>
      <w:tr>
        <w:trPr>
          <w:trHeight w:val="215"/>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Rotable Parts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19,848</w:t>
            </w:r>
          </w:p>
        </w:tc>
      </w:tr>
      <w:tr>
        <w:trPr>
          <w:trHeight w:val="210"/>
        </w:trPr>
        <w:tc>
          <w:tcPr>
            <w:tcW w:w="7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1,221,698</w:t>
            </w:r>
          </w:p>
        </w:tc>
      </w:tr>
      <w:tr>
        <w:trPr>
          <w:trHeight w:val="215"/>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(252,717)</w:t>
            </w:r>
          </w:p>
        </w:tc>
      </w:tr>
      <w:tr>
        <w:trPr>
          <w:trHeight w:val="210"/>
        </w:trPr>
        <w:tc>
          <w:tcPr>
            <w:tcW w:w="7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 net</w:t>
            </w: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1,002,400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968,981</w:t>
            </w:r>
          </w:p>
        </w:tc>
      </w:tr>
      <w:tr>
        <w:trPr>
          <w:trHeight w:val="34"/>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222,223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222,223</w:t>
            </w:r>
          </w:p>
        </w:tc>
      </w:tr>
      <w:tr>
        <w:trPr>
          <w:trHeight w:val="217"/>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Intangible Assets, net of accumulated amortization of $27,054 and $24,190, respectively</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83,551</w:t>
            </w:r>
          </w:p>
        </w:tc>
      </w:tr>
      <w:tr>
        <w:trPr>
          <w:trHeight w:val="215"/>
        </w:trPr>
        <w:tc>
          <w:tcPr>
            <w:tcW w:w="720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13,903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14,917</w:t>
            </w:r>
          </w:p>
        </w:tc>
      </w:tr>
      <w:tr>
        <w:trPr>
          <w:trHeight w:val="21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Deposits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w:t>
            </w:r>
          </w:p>
        </w:tc>
      </w:tr>
      <w:tr>
        <w:trPr>
          <w:trHeight w:val="215"/>
        </w:trPr>
        <w:tc>
          <w:tcPr>
            <w:tcW w:w="7200" w:type="dxa"/>
            <w:vAlign w:val="bottom"/>
          </w:tcPr>
          <w:p>
            <w:pPr>
              <w:ind w:left="140"/>
              <w:spacing w:after="0"/>
              <w:rPr>
                <w:sz w:val="20"/>
                <w:szCs w:val="20"/>
                <w:color w:val="auto"/>
              </w:rPr>
            </w:pPr>
            <w:r>
              <w:rPr>
                <w:rFonts w:ascii="Arial" w:cs="Arial" w:eastAsia="Arial" w:hAnsi="Arial"/>
                <w:sz w:val="16"/>
                <w:szCs w:val="16"/>
                <w:color w:val="auto"/>
              </w:rPr>
              <w:t>Long-term Lessor Maintenance Deposits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44,675</w:t>
            </w:r>
          </w:p>
        </w:tc>
      </w:tr>
      <w:tr>
        <w:trPr>
          <w:trHeight w:val="21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8,365</w:t>
            </w:r>
          </w:p>
        </w:tc>
      </w:tr>
      <w:tr>
        <w:trPr>
          <w:trHeight w:val="209"/>
        </w:trPr>
        <w:tc>
          <w:tcPr>
            <w:tcW w:w="72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383,295</w:t>
            </w: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1,623,627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June 30, 2024</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60,884</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59,011</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33,305</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15,162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18,097</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157,996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Finance Lease Obligations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34,137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44,756</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Loyalty Program Liabilities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net</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7,984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15,873</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367,339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418,582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232,546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3,839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289,589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327,468</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 Liability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89,710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97,794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Long-term Liabilities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689,697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690,642</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1,057,036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1,109,224</w:t>
            </w:r>
          </w:p>
        </w:tc>
        <w:tc>
          <w:tcPr>
            <w:tcW w:w="0" w:type="dxa"/>
            <w:vAlign w:val="bottom"/>
          </w:tcPr>
          <w:p>
            <w:pPr>
              <w:spacing w:after="0"/>
              <w:rPr>
                <w:sz w:val="1"/>
                <w:szCs w:val="1"/>
                <w:color w:val="auto"/>
              </w:rPr>
            </w:pP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10</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0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7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Common stock, with $0.01 par value, 995,000,000 shares authorized, 59,150,089 and 58,878,723</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issued and 52,807,083 and 53,291,001 outstanding at June 30, 2024 and December 31, 2023,</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3"/>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outstanding at June 30, 2024 and December 31, 2023, respectively</w:t>
            </w:r>
          </w:p>
        </w:tc>
        <w:tc>
          <w:tcPr>
            <w:tcW w:w="2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32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Treasury stock, at cost, 6,343,006 and 5,587,722 shares held at June 30, 2024 and December 31,</w:t>
            </w:r>
          </w:p>
        </w:tc>
        <w:tc>
          <w:tcPr>
            <w:tcW w:w="2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(105,914)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(94,341)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2023, respectively</w:t>
            </w:r>
          </w:p>
        </w:tc>
        <w:tc>
          <w:tcPr>
            <w:tcW w:w="2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513,988</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131,354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94,229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546,851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514,403</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1,603,887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1,623,627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9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216,395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227,866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491,059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495,135</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48,378</w:t>
            </w:r>
          </w:p>
        </w:tc>
      </w:tr>
      <w:tr>
        <w:trPr>
          <w:trHeight w:val="23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w:t>
            </w:r>
          </w:p>
        </w:tc>
      </w:tr>
      <w:tr>
        <w:trPr>
          <w:trHeight w:val="223"/>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565,864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555,201</w:t>
            </w:r>
          </w:p>
        </w:tc>
      </w:tr>
      <w:tr>
        <w:trPr>
          <w:trHeight w:val="34"/>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132,492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124,650</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151,349</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Aircraft Rent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28,981</w:t>
            </w: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18,436</w:t>
            </w: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41,815</w:t>
            </w: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18,917</w:t>
            </w: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Landing Fees and Airport Rent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22,889</w:t>
            </w:r>
          </w:p>
        </w:tc>
      </w:tr>
      <w:tr>
        <w:trPr>
          <w:trHeight w:val="229"/>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54,535</w:t>
            </w:r>
          </w:p>
        </w:tc>
      </w:tr>
      <w:tr>
        <w:trPr>
          <w:trHeight w:val="223"/>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463,831</w:t>
            </w:r>
          </w:p>
        </w:tc>
      </w:tr>
      <w:tr>
        <w:trPr>
          <w:trHeight w:val="262"/>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91,370</w:t>
            </w:r>
          </w:p>
        </w:tc>
      </w:tr>
      <w:tr>
        <w:trPr>
          <w:trHeight w:val="230"/>
        </w:trPr>
        <w:tc>
          <w:tcPr>
            <w:tcW w:w="45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(19,869)</w:t>
            </w: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45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(14,938)</w:t>
            </w:r>
          </w:p>
        </w:tc>
      </w:tr>
      <w:tr>
        <w:trPr>
          <w:trHeight w:val="270"/>
        </w:trPr>
        <w:tc>
          <w:tcPr>
            <w:tcW w:w="45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Before Income Tax</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76,432</w:t>
            </w:r>
          </w:p>
        </w:tc>
      </w:tr>
      <w:tr>
        <w:trPr>
          <w:trHeight w:val="223"/>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w:t>
            </w:r>
          </w:p>
        </w:tc>
      </w:tr>
      <w:tr>
        <w:trPr>
          <w:trHeight w:val="223"/>
        </w:trPr>
        <w:tc>
          <w:tcPr>
            <w:tcW w:w="45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58,946</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4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4"/>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0.99</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for computation:</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52,689,408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56,084,759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52,861,973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56,364,170</w:t>
            </w: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54,792,848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59,712,048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55,095,265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59,630,008</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36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0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58,946</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0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(losses) gains on Available-for-Sale</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00" w:type="dxa"/>
            <w:vAlign w:val="bottom"/>
          </w:tcPr>
          <w:p>
            <w:pPr>
              <w:ind w:left="240"/>
              <w:spacing w:after="0" w:line="181" w:lineRule="exact"/>
              <w:rPr>
                <w:sz w:val="20"/>
                <w:szCs w:val="20"/>
                <w:color w:val="auto"/>
              </w:rPr>
            </w:pPr>
            <w:r>
              <w:rPr>
                <w:rFonts w:ascii="Arial" w:cs="Arial" w:eastAsia="Arial" w:hAnsi="Arial"/>
                <w:sz w:val="18"/>
                <w:szCs w:val="18"/>
                <w:color w:val="auto"/>
              </w:rPr>
              <w:t>securities, net of deferred tax (benefit) expense of</w:t>
            </w:r>
          </w:p>
        </w:tc>
        <w:tc>
          <w:tcPr>
            <w:tcW w:w="10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$(12), $(73), $(54), and $43, respectively</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3500"/>
        <w:spacing w:after="0" w:line="284" w:lineRule="auto"/>
        <w:rPr>
          <w:sz w:val="20"/>
          <w:szCs w:val="20"/>
          <w:color w:val="auto"/>
        </w:rPr>
      </w:pPr>
      <w:r>
        <w:rPr>
          <w:rFonts w:ascii="Arial" w:cs="Arial" w:eastAsia="Arial" w:hAnsi="Arial"/>
          <w:sz w:val="18"/>
          <w:szCs w:val="18"/>
          <w:b w:val="1"/>
          <w:bCs w:val="1"/>
          <w:color w:val="auto"/>
        </w:rPr>
        <w:t>CONDENSED CONSOLIDATED STATEMENTS OF CHANGES IN STOCKHOLDERS’ EQUITY (Dollars in thousands, except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gridSpan w:val="6"/>
          </w:tcPr>
          <w:p>
            <w:pPr>
              <w:jc w:val="right"/>
              <w:spacing w:after="0"/>
              <w:rPr>
                <w:sz w:val="20"/>
                <w:szCs w:val="20"/>
                <w:color w:val="auto"/>
              </w:rPr>
            </w:pPr>
            <w:r>
              <w:rPr>
                <w:rFonts w:ascii="Arial" w:cs="Arial" w:eastAsia="Arial" w:hAnsi="Arial"/>
                <w:sz w:val="9"/>
                <w:szCs w:val="9"/>
                <w:b w:val="1"/>
                <w:bCs w:val="1"/>
                <w:color w:val="auto"/>
              </w:rPr>
              <w:t>Six Months Ended June 30, 2024</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3"/>
                <w:szCs w:val="3"/>
                <w:color w:val="auto"/>
              </w:rPr>
            </w:pPr>
          </w:p>
        </w:tc>
        <w:tc>
          <w:tcPr>
            <w:tcW w:w="1140" w:type="dxa"/>
            <w:vAlign w:val="bottom"/>
            <w:gridSpan w:val="2"/>
            <w:vMerge w:val="restart"/>
          </w:tcPr>
          <w:p>
            <w:pPr>
              <w:jc w:val="center"/>
              <w:ind w:right="180"/>
              <w:spacing w:after="0" w:line="95" w:lineRule="exact"/>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tcPr>
          <w:p>
            <w:pPr>
              <w:spacing w:after="0"/>
              <w:rPr>
                <w:sz w:val="12"/>
                <w:szCs w:val="12"/>
                <w:color w:val="auto"/>
              </w:rPr>
            </w:pPr>
          </w:p>
        </w:tc>
        <w:tc>
          <w:tcPr>
            <w:tcW w:w="104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12"/>
                <w:szCs w:val="12"/>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12"/>
                <w:szCs w:val="12"/>
                <w:color w:val="auto"/>
              </w:rPr>
            </w:pPr>
          </w:p>
        </w:tc>
        <w:tc>
          <w:tcPr>
            <w:tcW w:w="660" w:type="dxa"/>
            <w:vAlign w:val="bottom"/>
          </w:tcPr>
          <w:p>
            <w:pPr>
              <w:jc w:val="right"/>
              <w:ind w:right="267"/>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7"/>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December 31, 2023</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3,224,093</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58,878,723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589</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5,587,722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(94,341)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513,988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94,229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514,403</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1"/>
                <w:szCs w:val="11"/>
                <w:color w:val="auto"/>
              </w:rPr>
              <w:t>Stock Issued for Stock-Based Awards</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75,606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35,313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35,313</w:t>
            </w: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rPr>
                <w:sz w:val="20"/>
                <w:szCs w:val="20"/>
                <w:color w:val="auto"/>
              </w:rPr>
            </w:pPr>
            <w:r>
              <w:rPr>
                <w:rFonts w:ascii="Arial" w:cs="Arial" w:eastAsia="Arial" w:hAnsi="Arial"/>
                <w:sz w:val="11"/>
                <w:szCs w:val="11"/>
                <w:color w:val="auto"/>
              </w:rPr>
              <w:t>Common Stock Repurchases and Excise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tcPr>
          <w:p>
            <w:pPr>
              <w:ind w:left="100"/>
              <w:spacing w:after="0"/>
              <w:rPr>
                <w:sz w:val="20"/>
                <w:szCs w:val="20"/>
                <w:color w:val="auto"/>
              </w:rPr>
            </w:pPr>
            <w:r>
              <w:rPr>
                <w:rFonts w:ascii="Arial" w:cs="Arial" w:eastAsia="Arial" w:hAnsi="Arial"/>
                <w:sz w:val="11"/>
                <w:szCs w:val="11"/>
                <w:color w:val="auto"/>
              </w:rPr>
              <w:t>Tax</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755,284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(11,596)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(11,596)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Amazon Warrants</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189,652</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1,400</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1,400</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1,514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1,514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76"/>
        </w:trPr>
        <w:tc>
          <w:tcPr>
            <w:tcW w:w="216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March 31, 2024</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3,413,745</w:t>
            </w: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58,954,329</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590</w:t>
            </w: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6,343,006</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(105,937)</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517,012</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129,542</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541,006</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 Issued for Stock-Based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195,760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587</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589</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1"/>
                <w:szCs w:val="11"/>
                <w:color w:val="auto"/>
              </w:rPr>
              <w:t>Common Stock Repurchases, Excise Tax</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1,812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1,812</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1"/>
                <w:szCs w:val="11"/>
                <w:color w:val="auto"/>
              </w:rPr>
              <w:t>Amazon Warrants</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252,869</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1,867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1,867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1,570</w:t>
            </w: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Arial" w:cs="Arial" w:eastAsia="Arial" w:hAnsi="Arial"/>
                <w:sz w:val="11"/>
                <w:szCs w:val="11"/>
                <w:color w:val="auto"/>
              </w:rPr>
              <w:t>June 30, 2024</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3,666,614</w:t>
            </w:r>
          </w:p>
        </w:tc>
        <w:tc>
          <w:tcPr>
            <w:tcW w:w="1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59,150,089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592</w:t>
            </w:r>
          </w:p>
        </w:tc>
        <w:tc>
          <w:tcPr>
            <w:tcW w:w="1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6,343,006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(105,914)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521,036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131,354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546,851</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right"/>
              <w:spacing w:after="0"/>
              <w:rPr>
                <w:sz w:val="20"/>
                <w:szCs w:val="20"/>
                <w:color w:val="auto"/>
              </w:rPr>
            </w:pPr>
            <w:r>
              <w:rPr>
                <w:rFonts w:ascii="Arial" w:cs="Arial" w:eastAsia="Arial" w:hAnsi="Arial"/>
                <w:sz w:val="9"/>
                <w:szCs w:val="9"/>
                <w:b w:val="1"/>
                <w:bCs w:val="1"/>
                <w:color w:val="auto"/>
              </w:rPr>
              <w:t>Six Months Ended June 30, 2023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3"/>
                <w:szCs w:val="3"/>
                <w:color w:val="auto"/>
              </w:rPr>
            </w:pPr>
          </w:p>
        </w:tc>
        <w:tc>
          <w:tcPr>
            <w:tcW w:w="1140" w:type="dxa"/>
            <w:vAlign w:val="bottom"/>
            <w:gridSpan w:val="2"/>
            <w:vMerge w:val="restart"/>
          </w:tcPr>
          <w:p>
            <w:pPr>
              <w:jc w:val="center"/>
              <w:ind w:right="180"/>
              <w:spacing w:after="0" w:line="95" w:lineRule="exact"/>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tcPr>
          <w:p>
            <w:pPr>
              <w:spacing w:after="0"/>
              <w:rPr>
                <w:sz w:val="12"/>
                <w:szCs w:val="12"/>
                <w:color w:val="auto"/>
              </w:rPr>
            </w:pPr>
          </w:p>
        </w:tc>
        <w:tc>
          <w:tcPr>
            <w:tcW w:w="104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12"/>
                <w:szCs w:val="12"/>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12"/>
                <w:szCs w:val="12"/>
                <w:color w:val="auto"/>
              </w:rPr>
            </w:pPr>
          </w:p>
        </w:tc>
        <w:tc>
          <w:tcPr>
            <w:tcW w:w="660" w:type="dxa"/>
            <w:vAlign w:val="bottom"/>
          </w:tcPr>
          <w:p>
            <w:pPr>
              <w:jc w:val="right"/>
              <w:ind w:right="267"/>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7"/>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December 31, 2022</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2,402,268</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58,217,647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582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892,409</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(17,605)</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488,494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22,048</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(807)</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492,712</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Arial" w:cs="Arial" w:eastAsia="Arial" w:hAnsi="Arial"/>
                <w:sz w:val="11"/>
                <w:szCs w:val="11"/>
                <w:color w:val="auto"/>
              </w:rPr>
              <w:t>Stock Issued for Stock-Based Awards</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147,105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556</w:t>
            </w:r>
          </w:p>
        </w:tc>
        <w:tc>
          <w:tcPr>
            <w:tcW w:w="0" w:type="dxa"/>
            <w:vAlign w:val="bottom"/>
          </w:tcPr>
          <w:p>
            <w:pPr>
              <w:spacing w:after="0"/>
              <w:rPr>
                <w:sz w:val="1"/>
                <w:szCs w:val="1"/>
                <w:color w:val="auto"/>
              </w:rPr>
            </w:pPr>
          </w:p>
        </w:tc>
      </w:tr>
      <w:tr>
        <w:trPr>
          <w:trHeight w:val="145"/>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Stock Settlement of Stock-Based</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406</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38,328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38,328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Repurchases and Excise</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1,230,932</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(22,549)</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7,501</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(15,048)</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1"/>
                <w:szCs w:val="11"/>
                <w:color w:val="auto"/>
              </w:rPr>
              <w:t>Amazon Warrants</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189,652</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1,400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1,400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2,678</w:t>
            </w: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389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20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March 31, 2023</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2,591,920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58,364,752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2,123,747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500,627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60,376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521,007</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160" w:type="dxa"/>
            <w:vAlign w:val="bottom"/>
          </w:tcPr>
          <w:p>
            <w:pPr>
              <w:ind w:left="20"/>
              <w:spacing w:after="0"/>
              <w:rPr>
                <w:sz w:val="20"/>
                <w:szCs w:val="20"/>
                <w:color w:val="auto"/>
              </w:rPr>
            </w:pPr>
            <w:r>
              <w:rPr>
                <w:rFonts w:ascii="Arial" w:cs="Arial" w:eastAsia="Arial" w:hAnsi="Arial"/>
                <w:sz w:val="11"/>
                <w:szCs w:val="11"/>
                <w:color w:val="auto"/>
              </w:rPr>
              <w:t>Stock Issued for Stock-Based Awards</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187,975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615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20,618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20,618</w:t>
            </w: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rPr>
                <w:sz w:val="20"/>
                <w:szCs w:val="20"/>
                <w:color w:val="auto"/>
              </w:rPr>
            </w:pPr>
            <w:r>
              <w:rPr>
                <w:rFonts w:ascii="Arial" w:cs="Arial" w:eastAsia="Arial" w:hAnsi="Arial"/>
                <w:sz w:val="11"/>
                <w:szCs w:val="11"/>
                <w:color w:val="auto"/>
              </w:rPr>
              <w:t>Common Stock Repurchases and Excise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160" w:type="dxa"/>
            <w:vAlign w:val="bottom"/>
          </w:tcPr>
          <w:p>
            <w:pPr>
              <w:ind w:left="100"/>
              <w:spacing w:after="0"/>
              <w:rPr>
                <w:sz w:val="20"/>
                <w:szCs w:val="20"/>
                <w:color w:val="auto"/>
              </w:rPr>
            </w:pPr>
            <w:r>
              <w:rPr>
                <w:rFonts w:ascii="Arial" w:cs="Arial" w:eastAsia="Arial" w:hAnsi="Arial"/>
                <w:sz w:val="11"/>
                <w:szCs w:val="11"/>
                <w:color w:val="auto"/>
              </w:rPr>
              <w:t>Tax</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416,751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(7,511)</w:t>
            </w:r>
          </w:p>
        </w:tc>
        <w:tc>
          <w:tcPr>
            <w:tcW w:w="0" w:type="dxa"/>
            <w:vAlign w:val="bottom"/>
          </w:tcPr>
          <w:p>
            <w:pPr>
              <w:spacing w:after="0"/>
              <w:rPr>
                <w:sz w:val="1"/>
                <w:szCs w:val="1"/>
                <w:color w:val="auto"/>
              </w:rPr>
            </w:pPr>
          </w:p>
        </w:tc>
      </w:tr>
      <w:tr>
        <w:trPr>
          <w:trHeight w:val="165"/>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Amazon Warrants</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252,869</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1,867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1,867</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4,415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4,415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76"/>
        </w:trPr>
        <w:tc>
          <w:tcPr>
            <w:tcW w:w="216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June 30, 2023</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2,844,789</w:t>
            </w: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58,552,727</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586</w:t>
            </w: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2,540,498</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(47,673)</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507,522</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80,994</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(664)</w:t>
            </w: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540,765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jc w:val="right"/>
              <w:ind w:right="1137"/>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7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rPr>
              <w:t>2023</w:t>
            </w:r>
          </w:p>
        </w:tc>
      </w:tr>
      <w:tr>
        <w:trPr>
          <w:trHeight w:val="171"/>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58,946</w:t>
            </w:r>
          </w:p>
        </w:tc>
      </w:tr>
      <w:tr>
        <w:trPr>
          <w:trHeight w:val="174"/>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41,815</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9,539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16,269</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11,677</w:t>
            </w:r>
          </w:p>
        </w:tc>
      </w:tr>
      <w:tr>
        <w:trPr>
          <w:trHeight w:val="174"/>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9,199</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(1,012)</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Lessor Maintenance Deposits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(8,387)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(5,635)</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Aircraft Deposits</w:t>
            </w:r>
          </w:p>
        </w:tc>
        <w:tc>
          <w:tcPr>
            <w:tcW w:w="3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Other Assets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1,269</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Accrued Transportation Taxes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(2,934)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(2,178)</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Air Traffic Liabilities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(27,731)</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Loyalty Program Liabilities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(1,781)</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Obligations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w:t>
            </w:r>
          </w:p>
        </w:tc>
      </w:tr>
      <w:tr>
        <w:trPr>
          <w:trHeight w:val="171"/>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Liabilities</w:t>
            </w: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1,805</w:t>
            </w:r>
          </w:p>
        </w:tc>
      </w:tr>
      <w:tr>
        <w:trPr>
          <w:trHeight w:val="174"/>
        </w:trPr>
        <w:tc>
          <w:tcPr>
            <w:tcW w:w="72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38,872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95,693</w:t>
            </w:r>
          </w:p>
        </w:tc>
      </w:tr>
      <w:tr>
        <w:trPr>
          <w:trHeight w:val="165"/>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9"/>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&amp; Equipment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(192,352)</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Purchases of Investments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(31,610)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(49,437)</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the Maturities of Investments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71,795</w:t>
            </w:r>
          </w:p>
        </w:tc>
      </w:tr>
      <w:tr>
        <w:trPr>
          <w:trHeight w:val="171"/>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net</w:t>
            </w: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1,953</w:t>
            </w:r>
          </w:p>
        </w:tc>
      </w:tr>
      <w:tr>
        <w:trPr>
          <w:trHeight w:val="174"/>
        </w:trPr>
        <w:tc>
          <w:tcPr>
            <w:tcW w:w="72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(168,041)</w:t>
            </w:r>
          </w:p>
        </w:tc>
      </w:tr>
      <w:tr>
        <w:trPr>
          <w:trHeight w:val="165"/>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 Stock Repurchases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(22,249)</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Proceeds from Borrowings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119,200</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(8,671)</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Repayment of Borrowings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(46,767)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(21,808)</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(2,841)</w:t>
            </w:r>
          </w:p>
        </w:tc>
      </w:tr>
      <w:tr>
        <w:trPr>
          <w:trHeight w:val="208"/>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63,631</w:t>
            </w:r>
          </w:p>
        </w:tc>
      </w:tr>
      <w:tr>
        <w:trPr>
          <w:trHeight w:val="210"/>
        </w:trPr>
        <w:tc>
          <w:tcPr>
            <w:tcW w:w="72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Decrease in Cash, Cash Equivalents and Restricted Cash</w:t>
            </w:r>
          </w:p>
        </w:tc>
        <w:tc>
          <w:tcPr>
            <w:tcW w:w="320" w:type="dxa"/>
            <w:vAlign w:val="bottom"/>
            <w:tcBorders>
              <w:top w:val="single" w:sz="8" w:color="CCEEFF"/>
              <w:bottom w:val="single" w:sz="8" w:color="CCEEFF"/>
            </w:tcBorders>
          </w:tcPr>
          <w:p>
            <w:pPr>
              <w:spacing w:after="0"/>
              <w:rPr>
                <w:sz w:val="18"/>
                <w:szCs w:val="18"/>
                <w:color w:val="auto"/>
              </w:rPr>
            </w:pPr>
          </w:p>
        </w:tc>
        <w:tc>
          <w:tcPr>
            <w:tcW w:w="16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3"/>
                <w:szCs w:val="13"/>
                <w:color w:val="auto"/>
              </w:rPr>
              <w:t>(29,643)</w:t>
            </w:r>
          </w:p>
        </w:tc>
        <w:tc>
          <w:tcPr>
            <w:tcW w:w="10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16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3"/>
                <w:szCs w:val="13"/>
                <w:color w:val="auto"/>
              </w:rPr>
              <w:t>(8,717)</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3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63,680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102,928</w:t>
            </w: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34,037</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94,211</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29"/>
        </w:trPr>
        <w:tc>
          <w:tcPr>
            <w:tcW w:w="7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r>
      <w:tr>
        <w:trPr>
          <w:trHeight w:val="174"/>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7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Aircraft Acquired under Finance Lease</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220" w:type="dxa"/>
            <w:vAlign w:val="bottom"/>
          </w:tcPr>
          <w:p>
            <w:pPr>
              <w:ind w:left="100"/>
              <w:spacing w:after="0"/>
              <w:rPr>
                <w:sz w:val="20"/>
                <w:szCs w:val="20"/>
                <w:color w:val="auto"/>
              </w:rPr>
            </w:pPr>
            <w:r>
              <w:rPr>
                <w:rFonts w:ascii="Arial" w:cs="Arial" w:eastAsia="Arial" w:hAnsi="Arial"/>
                <w:sz w:val="13"/>
                <w:szCs w:val="13"/>
                <w:color w:val="auto"/>
              </w:rPr>
              <w:t>Aircraft Acquired from the Exercise of Finance Lease Purchase Option, net of Accumulated Depreciation</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11,634</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Changes to Finance Lease Assets due to Lease Modifications</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14,095</w:t>
            </w:r>
          </w:p>
        </w:tc>
      </w:tr>
      <w:tr>
        <w:trPr>
          <w:trHeight w:val="203"/>
        </w:trPr>
        <w:tc>
          <w:tcPr>
            <w:tcW w:w="91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75"/>
        </w:trPr>
        <w:tc>
          <w:tcPr>
            <w:tcW w:w="92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9"/>
              </w:rPr>
              <w:t>The following provides a reconciliation of Cash, Cash Equivalents and Restricted Cash to the amounts reported on the Condensed Consolidated Balance Sheets:</w:t>
            </w:r>
          </w:p>
        </w:tc>
        <w:tc>
          <w:tcPr>
            <w:tcW w:w="3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4"/>
        </w:trPr>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tcPr>
          <w:p>
            <w:pPr>
              <w:ind w:left="240"/>
              <w:spacing w:after="0"/>
              <w:rPr>
                <w:sz w:val="20"/>
                <w:szCs w:val="20"/>
                <w:color w:val="auto"/>
              </w:rPr>
            </w:pPr>
            <w:r>
              <w:rPr>
                <w:rFonts w:ascii="Arial" w:cs="Arial" w:eastAsia="Arial" w:hAnsi="Arial"/>
                <w:sz w:val="13"/>
                <w:szCs w:val="13"/>
                <w:b w:val="1"/>
                <w:bCs w:val="1"/>
                <w:color w:val="auto"/>
              </w:rPr>
              <w:t>June 30, 2024</w:t>
            </w:r>
          </w:p>
        </w:tc>
        <w:tc>
          <w:tcPr>
            <w:tcW w:w="340" w:type="dxa"/>
            <w:vAlign w:val="bottom"/>
          </w:tcPr>
          <w:p>
            <w:pPr>
              <w:spacing w:after="0"/>
              <w:rPr>
                <w:sz w:val="15"/>
                <w:szCs w:val="15"/>
                <w:color w:val="auto"/>
              </w:rPr>
            </w:pPr>
          </w:p>
        </w:tc>
        <w:tc>
          <w:tcPr>
            <w:tcW w:w="1620" w:type="dxa"/>
            <w:vAlign w:val="bottom"/>
          </w:tcPr>
          <w:p>
            <w:pPr>
              <w:jc w:val="right"/>
              <w:ind w:right="497"/>
              <w:spacing w:after="0"/>
              <w:rPr>
                <w:sz w:val="20"/>
                <w:szCs w:val="20"/>
                <w:color w:val="auto"/>
              </w:rPr>
            </w:pPr>
            <w:r>
              <w:rPr>
                <w:rFonts w:ascii="Arial" w:cs="Arial" w:eastAsia="Arial" w:hAnsi="Arial"/>
                <w:sz w:val="13"/>
                <w:szCs w:val="13"/>
                <w:b w:val="1"/>
                <w:bCs w:val="1"/>
                <w:color w:val="auto"/>
              </w:rPr>
              <w:t>June 30, 2023</w:t>
            </w:r>
          </w:p>
        </w:tc>
      </w:tr>
      <w:tr>
        <w:trPr>
          <w:trHeight w:val="171"/>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26,864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86,930</w:t>
            </w:r>
          </w:p>
        </w:tc>
      </w:tr>
      <w:tr>
        <w:trPr>
          <w:trHeight w:val="171"/>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w:t>
            </w: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7,281</w:t>
            </w:r>
          </w:p>
        </w:tc>
      </w:tr>
      <w:tr>
        <w:trPr>
          <w:trHeight w:val="199"/>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34,037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94,211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unaudited Condensed Consolidated Financial Statements of Sun Country Airlines Holdings, Inc. should be read in conjunction with the Consolidated Financial Statements contained in the Company's Annual Report on Form 10-K for the year ended December 31, 2023 as filed with the SEC ("2023 10-K"). Management believes that all adjustments necessary for the fair presentation of results, consisting of normally recurring items, have been included in the unaudited Condensed Consolidated Financial Statements for the interim periods presented. The Company reclassified certain prior period amounts to conform to the current period presentation. All material intercompany balances and transactions have been eliminated in consolidation.</w:t>
      </w:r>
    </w:p>
    <w:p>
      <w:pPr>
        <w:spacing w:after="0" w:line="18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Due to impacts from seasonal variations in the demand for air travel, the volatility of aircraft fuel prices, the impact of macroeconomic conditions, and other factors, operating results for the six months ended June 30, 2024 are not necessarily indicative of operating results for other interim periods or for the full year ending December 31, 2024.</w:t>
      </w:r>
    </w:p>
    <w:p>
      <w:pPr>
        <w:spacing w:after="0" w:line="1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Ancillary, Cargo and Other revenue. Scheduled Service revenue mainly consists of base fares. Charter revenue is primarily generated through service provided to the U.S. Department of Defense ("DoD"), collegiate and professional sports teams, and casinos. Ancillary revenues consist of revenue earned from air travel-related services, such as: baggage fees, seat selection fees, other fees and on-board sales. Cargo consists of revenue earned from flying cargo aircraft for Amazon.com Services, Inc. (together with its affiliates, “Amazon”) under the Amended and Restated Air Transportation Services Agreement (the “A&amp;R ATSA”). Other revenue consists primarily of revenue from services in connection with Sun Country Vacations products and rental revenue related to certain transactions where the Company serves as a lessor. The Company recognized rental revenue of $9,873 and $5,871, during the three months ended June 30, 2024 and 2023, respectively; and $19,148 and $5,949 during the six months ended June 30, 2024 and 2023, respectively.</w:t>
      </w:r>
    </w:p>
    <w:p>
      <w:pPr>
        <w:spacing w:after="0" w:line="18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the three months ended June 30, 2024, the Company entered into the A&amp;R ATSA with Amazon that will increase the number of 737-800 cargo aircraft that Sun Country operates on behalf of Amazon from 12 to 20. The A&amp;R ATSA includes revised economics to reflect the higher-cost environment that has ensued since the original Air Transportation Services Agreement ("ATSA") was signed in December 2019. The performance obligations under the A&amp;R ATSA are unchanged from the original ATSA. The first additional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aircraft are expected to begin service in the first quarter of 2025. All eight aircraft are expected to be operational by the end of the third quarter of 2025. The A&amp;R ATSA includes an initial six-year term, which runs until October 2030. The agreement includes two additional, two-year renewal terms exercisable at Amazon's option, and a subsequent three-year renewal term subject to mutual written agreement, which, if not agreed to, will trigger a final two-year wind-down term. Amazon did not make any incremental payments for start-up costs in connection with the signing of the A&amp;R ATSA. The warrant agreement was not amended, and Amazon did not receive any additional warrants.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8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0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224"/>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264,124</w:t>
            </w:r>
          </w:p>
        </w:tc>
      </w:tr>
      <w:tr>
        <w:trPr>
          <w:trHeight w:val="229"/>
        </w:trPr>
        <w:tc>
          <w:tcPr>
            <w:tcW w:w="4020" w:type="dxa"/>
            <w:vAlign w:val="bottom"/>
          </w:tcPr>
          <w:p>
            <w:pPr>
              <w:ind w:left="120"/>
              <w:spacing w:after="0"/>
              <w:rPr>
                <w:sz w:val="20"/>
                <w:szCs w:val="20"/>
                <w:color w:val="auto"/>
              </w:rPr>
            </w:pPr>
            <w:r>
              <w:rPr>
                <w:rFonts w:ascii="Arial" w:cs="Arial" w:eastAsia="Arial" w:hAnsi="Arial"/>
                <w:sz w:val="18"/>
                <w:szCs w:val="18"/>
                <w:color w:val="auto"/>
              </w:rPr>
              <w:t>Charter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95,813</w:t>
            </w:r>
          </w:p>
        </w:tc>
      </w:tr>
      <w:tr>
        <w:trPr>
          <w:trHeight w:val="230"/>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135,198</w:t>
            </w:r>
          </w:p>
        </w:tc>
      </w:tr>
      <w:tr>
        <w:trPr>
          <w:trHeight w:val="223"/>
        </w:trPr>
        <w:tc>
          <w:tcPr>
            <w:tcW w:w="402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227,866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495,135</w:t>
            </w:r>
          </w:p>
        </w:tc>
      </w:tr>
      <w:tr>
        <w:trPr>
          <w:trHeight w:val="230"/>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48,378</w:t>
            </w:r>
          </w:p>
        </w:tc>
      </w:tr>
      <w:tr>
        <w:trPr>
          <w:trHeight w:val="229"/>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w:t>
            </w:r>
          </w:p>
        </w:tc>
      </w:tr>
      <w:tr>
        <w:trPr>
          <w:trHeight w:val="248"/>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555,201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attributes and measures its Operating Revenues by geographic region as defined by the United States Department of Transportation ("DOT") for airline reporting based upon the origin of each passenger and cargo flight segment.</w:t>
      </w:r>
    </w:p>
    <w:p>
      <w:pPr>
        <w:spacing w:after="0" w:line="15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84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0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526,071</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28,555</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3"/>
        </w:trPr>
        <w:tc>
          <w:tcPr>
            <w:tcW w:w="402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254,381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261,086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555,201</w:t>
            </w: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contract assets primarily relate to costs incurred to get Amazon cargo aircraft ready for service under the original ATSA.</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balances are included in Other Current Assets and Other Assets on the Condensed Consolidated Balance Sheets.</w:t>
      </w:r>
    </w:p>
    <w:p>
      <w:pPr>
        <w:spacing w:after="0" w:line="207"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Company’s contract liabilities are comprised of: 1) ticket sales for transportation that have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Payment received (reported within Other Current Liabilities and Other Long-term Liabilities on the Condensed Consolidated Balance Sheets).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2023</w:t>
            </w:r>
          </w:p>
        </w:tc>
      </w:tr>
      <w:tr>
        <w:trPr>
          <w:trHeight w:val="211"/>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116,877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157,996</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173,958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six months ended June 30, 2024, $147,256 of revenue was recognized in Passenger revenue that was included in the Air Traffic Liabilities as of December 31, 2023.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6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4,262</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1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Balance – June 30</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13,656</w:t>
            </w:r>
          </w:p>
        </w:tc>
      </w:tr>
      <w:tr>
        <w:trPr>
          <w:trHeight w:val="20"/>
        </w:trPr>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75" w:lineRule="exact"/>
        <w:rPr>
          <w:sz w:val="20"/>
          <w:szCs w:val="20"/>
          <w:color w:val="auto"/>
        </w:rPr>
      </w:pPr>
    </w:p>
    <w:p>
      <w:pPr>
        <w:jc w:val="both"/>
        <w:ind w:left="900" w:right="500" w:hanging="550"/>
        <w:spacing w:after="0" w:line="26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82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0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8"/>
        </w:trPr>
        <w:tc>
          <w:tcPr>
            <w:tcW w:w="406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1,812</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20,618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37,125</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58,946</w:t>
            </w:r>
          </w:p>
        </w:tc>
      </w:tr>
      <w:tr>
        <w:trPr>
          <w:trHeight w:val="261"/>
        </w:trPr>
        <w:tc>
          <w:tcPr>
            <w:tcW w:w="4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4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Basic</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52,689,408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56,084,759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52,861,973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56,364,170</w:t>
            </w:r>
          </w:p>
        </w:tc>
      </w:tr>
      <w:tr>
        <w:trPr>
          <w:trHeight w:val="198"/>
        </w:trPr>
        <w:tc>
          <w:tcPr>
            <w:tcW w:w="4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Dilutive effect of Stock Options, RSUs and Warrants</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2,103,440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3,627,289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2,233,292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3,265,838</w:t>
            </w:r>
          </w:p>
        </w:tc>
      </w:tr>
      <w:tr>
        <w:trPr>
          <w:trHeight w:val="225"/>
        </w:trPr>
        <w:tc>
          <w:tcPr>
            <w:tcW w:w="4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Diluted</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54,792,848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59,712,048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55,095,265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59,630,008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r>
      <w:tr>
        <w:trPr>
          <w:trHeight w:val="195"/>
        </w:trPr>
        <w:tc>
          <w:tcPr>
            <w:tcW w:w="4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0.99</w:t>
            </w:r>
          </w:p>
        </w:tc>
      </w:tr>
    </w:tbl>
    <w:p>
      <w:pPr>
        <w:spacing w:after="0" w:line="367"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 has excluded 4,856,996 and 4,543,986 of stock options, RSUs and warrants that would have had an anti-dilutive effect on its diluted earnings per share calculation for the three and six months ended June 30, 2024, respectively. The Company's anti-dilutive shares for the three and six months ended June 30, 2023 were not material to the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AIRCRAFT</w:t>
      </w:r>
    </w:p>
    <w:p>
      <w:pPr>
        <w:spacing w:after="0" w:line="225"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color w:val="auto"/>
        </w:rPr>
        <w:t>As of June 30, 2024, Sun Country's fleet consisted of 63 Boeing 737-NG aircraft, comprised of 58 Boeing 737-800s and five Boeing 737-900ERs.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aircraft fleet activity for the six months ended June 30, 2024 and 2023, respectively:</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2023</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23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80"/>
              <w:spacing w:after="0"/>
              <w:rPr>
                <w:sz w:val="20"/>
                <w:szCs w:val="20"/>
                <w:color w:val="auto"/>
              </w:rPr>
            </w:pPr>
            <w:r>
              <w:rPr>
                <w:rFonts w:ascii="Arial" w:cs="Arial" w:eastAsia="Arial" w:hAnsi="Arial"/>
                <w:sz w:val="18"/>
                <w:szCs w:val="18"/>
                <w:color w:val="auto"/>
              </w:rPr>
              <w:t>Aircraft Operated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80"/>
              <w:spacing w:after="0"/>
              <w:rPr>
                <w:sz w:val="20"/>
                <w:szCs w:val="20"/>
                <w:color w:val="auto"/>
              </w:rPr>
            </w:pPr>
            <w:r>
              <w:rPr>
                <w:rFonts w:ascii="Arial" w:cs="Arial" w:eastAsia="Arial" w:hAnsi="Arial"/>
                <w:sz w:val="18"/>
                <w:szCs w:val="18"/>
                <w:color w:val="auto"/>
              </w:rPr>
              <w:t>Amazon</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Total Aircraft</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4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2022</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4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Sun Country Airlines’ Fleet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Aircraft Operated for</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Amazon</w:t>
            </w:r>
          </w:p>
        </w:tc>
        <w:tc>
          <w:tcPr>
            <w:tcW w:w="1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740" w:type="dxa"/>
            <w:vAlign w:val="bottom"/>
            <w:gridSpan w:val="2"/>
            <w:vMerge w:val="continue"/>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Arial" w:cs="Arial" w:eastAsia="Arial" w:hAnsi="Arial"/>
                <w:sz w:val="18"/>
                <w:szCs w:val="18"/>
                <w:color w:val="auto"/>
              </w:rPr>
              <w:t>Total Aircraft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 w:hanging="5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head leases associated with these subleases are classified as finance leases.</w:t>
      </w:r>
    </w:p>
    <w:p>
      <w:pPr>
        <w:spacing w:after="0" w:line="2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six months ended June 30, 2024, the Company acquired one incremental owned aircraft and took control of two aircraft through finance lease arrangements, one of which was subsequently subleased to the same unaffiliated airline to whom we subleased another aircraft during the year ended December 31, 2023. During the three months ended June 30, 2024, amendments were executed to extend the lease expiry terms for both subleased aircraft through the second and fourth quarters of 2025, respectively. Upon expiry of these subleases, both aircraft will be redelivered to the Company and are expected to be inducted into the Company's passenger fleet. Further, the Company purchased one aircraft previously classified as 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finance lease, which is now unencumbered. Of the 36 Owned aircraft and Owned Aircraft Held for Operating Lease as of June 30, 2024, 31 aircraft were financed and five aircraft were unencumbered.</w:t>
      </w:r>
    </w:p>
    <w:p>
      <w:pPr>
        <w:spacing w:after="0" w:line="99" w:lineRule="exact"/>
        <w:rPr>
          <w:sz w:val="20"/>
          <w:szCs w:val="20"/>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During the six months ended June 30, 2023, the Company acquired five 737-900ERs that are currently on lease to an unaffiliated airline ("Owned Aircraft Held for Operating Lease"). The Owned Aircraft Held for Operating Lease are financed through a term loan arrangement. See </w:t>
      </w:r>
      <w:hyperlink r:id="rId39">
        <w:r>
          <w:rPr>
            <w:rFonts w:ascii="Arial" w:cs="Arial" w:eastAsia="Arial" w:hAnsi="Arial"/>
            <w:sz w:val="18"/>
            <w:szCs w:val="18"/>
            <w:u w:val="single" w:color="auto"/>
            <w:color w:val="0000FF"/>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within Part II, Item 8 in our 2023 10-K for more information on this transaction. Additionally, during the six months ended June 30, 2023, the Company acquired an incremental aircraft and executed a lease amendment to purchase one aircraft at the end of its lease term. The lease amendment modified the classification of this lease from an operating lease to a finance lease and has an expiration date in fiscal year 2024.</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rent expense on aircraft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80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Aircraft Status</w:t>
            </w:r>
          </w:p>
        </w:tc>
        <w:tc>
          <w:tcPr>
            <w:tcW w:w="1980" w:type="dxa"/>
            <w:vAlign w:val="bottom"/>
            <w:gridSpan w:val="2"/>
          </w:tcPr>
          <w:p>
            <w:pPr>
              <w:ind w:left="460"/>
              <w:spacing w:after="0"/>
              <w:rPr>
                <w:sz w:val="20"/>
                <w:szCs w:val="20"/>
                <w:color w:val="auto"/>
              </w:rPr>
            </w:pPr>
            <w:r>
              <w:rPr>
                <w:rFonts w:ascii="Arial" w:cs="Arial" w:eastAsia="Arial" w:hAnsi="Arial"/>
                <w:sz w:val="14"/>
                <w:szCs w:val="14"/>
                <w:b w:val="1"/>
                <w:bCs w:val="1"/>
                <w:color w:val="auto"/>
              </w:rPr>
              <w:t>Expense Type</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r>
      <w:tr>
        <w:trPr>
          <w:trHeight w:val="224"/>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w:t>
            </w:r>
          </w:p>
        </w:tc>
      </w:tr>
      <w:tr>
        <w:trPr>
          <w:trHeight w:val="229"/>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Finance Leased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9,558</w:t>
            </w: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1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r>
      <w:tr>
        <w:trPr>
          <w:trHeight w:val="223"/>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38,132</w:t>
            </w:r>
          </w:p>
        </w:tc>
      </w:tr>
      <w:tr>
        <w:trPr>
          <w:trHeight w:val="21"/>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20" w:hanging="470"/>
        <w:spacing w:after="0"/>
        <w:tabs>
          <w:tab w:leader="none" w:pos="820" w:val="left"/>
        </w:tabs>
        <w:numPr>
          <w:ilvl w:val="1"/>
          <w:numId w:val="8"/>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28" w:lineRule="exact"/>
        <w:rPr>
          <w:rFonts w:ascii="Arial" w:cs="Arial" w:eastAsia="Arial" w:hAnsi="Arial"/>
          <w:sz w:val="14"/>
          <w:szCs w:val="14"/>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Facilities</w:t>
      </w:r>
    </w:p>
    <w:p>
      <w:pPr>
        <w:spacing w:after="0" w:line="225"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On February 10, 2021, the Company executed a five-year credit agreement (the “Credit Agreement”) with a group of lenders. The Credit Agreement includes a $25,000 Revolving Credit Facility (the "Revolving Credit Facility") and a $90,000 Delayed Draw Term Loan Facility (“DDTL”), which are collectively referred to as the “Credit Facilities.” The Credit Agreement includes financial covenants that require a minimum trailing 12-month EBITDAR of $87,700 and minimum liquidity, as defined within the Credit Agreement, of $30,000 at the close of any business day. The Company was in compliance with these covenants as of June 30, 2024.</w:t>
      </w:r>
    </w:p>
    <w:p>
      <w:pPr>
        <w:spacing w:after="0" w:line="17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Due to previous transactions which utilized the DDTL and the subsequent repayment, no amounts under the DDTL were available to the Company as of June 30, 2024. As of June 30, 2024, the Company had $24,393 of financing available through the Revolving Credit Facility, as $607 had been pledged to support letters of credit.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Long-term Debt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Term Loan Credit Facility</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the six months ended June 30, 2023, the Company executed a term loan credit facility with a face amount of $119,200 for the purpose of financing the five Owned Aircraft Held for Operating Lease. The loan is repaid monthly through March 2030. During the lease term, payments collected from the lessee are applied directly to the repayment of principal and interest on the term loan credit facility. The Owned Aircraft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Held for Operating Lease, as well as the related lease payments received from the lessee, are pledged as collateral.</w:t>
      </w:r>
    </w:p>
    <w:p>
      <w:pPr>
        <w:spacing w:after="0" w:line="225"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Loan-to-Value ("LTV") ratio calculation is completed at the end of the lease term. The interest rate in effect as of June 30, 2024 was 9.2%.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 amount can be reasonably estimated, the estimated principal prepayment amount will be reclassified from Long-term Debt, net to Current Maturities of Long-term Debt, net on the Company's Condensed Consolidated Balance Sheets. In the event a principal prepayment is required, amounts received under the end of lease maintenance compensation clause will be applied towards any prepayment obligation. No amounts related to an estimated principal prepayment have been reclassified from Long-term Debt, net to Current Maturities of Long-term Debt, net on the Company's Condensed Consolidated Balance Sheets as of June 30, 2024.</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March 2022, the Company arranged for the issuance of Class A and Class B certificates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5.05% as of June 30, 2024.</w:t>
      </w:r>
    </w:p>
    <w:p>
      <w:pPr>
        <w:spacing w:after="0" w:line="176"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In December 2019, the Company arranged for the issuance of Class A, Class B and Class C trust certificates Series 2019-1 (the “2019-1 EETC”), in an aggregate face amount of $248,587 for the purpose of financing or refinancing 13 aircraft, which was completed in 2020. The Company is required to make bi-annual principal and interest payments each June and December, through December 2027. These notes bear interest at an annual rate between 4.13% and 6.95%. The weighted average interest rate was 4.30% as of June 30, 2024.</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9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2019-1 EETC (see terms and conditions above)</w:t>
            </w:r>
          </w:p>
        </w:tc>
        <w:tc>
          <w:tcPr>
            <w:tcW w:w="17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960" w:type="dxa"/>
            <w:vAlign w:val="bottom"/>
          </w:tcPr>
          <w:p>
            <w:pPr>
              <w:ind w:left="60"/>
              <w:spacing w:after="0"/>
              <w:rPr>
                <w:sz w:val="20"/>
                <w:szCs w:val="20"/>
                <w:color w:val="auto"/>
              </w:rPr>
            </w:pPr>
            <w:r>
              <w:rPr>
                <w:rFonts w:ascii="Arial" w:cs="Arial" w:eastAsia="Arial" w:hAnsi="Arial"/>
                <w:sz w:val="18"/>
                <w:szCs w:val="18"/>
                <w:color w:val="auto"/>
              </w:rPr>
              <w:t>2022-1 EETC (see terms and conditions above)</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148,653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158,775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Term Loan Credit Facility (see terms and conditions above)</w:t>
            </w:r>
          </w:p>
        </w:tc>
        <w:tc>
          <w:tcPr>
            <w:tcW w:w="17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Total Debt</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368,872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405,640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 of Long-term Debt, net</w:t>
            </w:r>
          </w:p>
        </w:tc>
        <w:tc>
          <w:tcPr>
            <w:tcW w:w="1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 net</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327,468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070"/>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6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Debt Principal</w:t>
            </w:r>
          </w:p>
        </w:tc>
        <w:tc>
          <w:tcPr>
            <w:tcW w:w="1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 of Debt</w:t>
            </w:r>
          </w:p>
        </w:tc>
        <w:tc>
          <w:tcPr>
            <w:tcW w:w="340" w:type="dxa"/>
            <w:vAlign w:val="bottom"/>
          </w:tcPr>
          <w:p>
            <w:pPr>
              <w:spacing w:after="0"/>
              <w:rPr>
                <w:sz w:val="14"/>
                <w:szCs w:val="14"/>
                <w:color w:val="auto"/>
              </w:rPr>
            </w:pPr>
          </w:p>
        </w:tc>
        <w:tc>
          <w:tcPr>
            <w:tcW w:w="14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Issuance Costs</w:t>
            </w:r>
          </w:p>
        </w:tc>
        <w:tc>
          <w:tcPr>
            <w:tcW w:w="3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2024</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38,054</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79,047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64,651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June 30, 2024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365,500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The fair value of Debt was $346,789 as of June 30, 2024 and $383,061 as of December 31, 2023. The fair value of the Company’s debt was based on the discounted amount of future cash flows using the Company’s end-of-period estimated incremental borrowing rate for similar obligations. The estimates were primarily based on Level 3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50,755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50,588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51,314</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101,902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60" w:right="200" w:hanging="410"/>
        <w:spacing w:after="0" w:line="285" w:lineRule="auto"/>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Condensed Consolidated Balance Sheets totaling $6,399 and $6,887 as of June 30, 2024 and December 31, 2023, respectively.</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2024, the unrealized losses were the result of increases in market interest rates and were not the result of a deterioration</w:t>
      </w:r>
    </w:p>
    <w:p>
      <w:pPr>
        <w:spacing w:after="0" w:line="14" w:lineRule="exact"/>
        <w:rPr>
          <w:sz w:val="20"/>
          <w:szCs w:val="20"/>
          <w:color w:val="auto"/>
        </w:rPr>
      </w:pPr>
    </w:p>
    <w:p>
      <w:pPr>
        <w:ind w:left="260"/>
        <w:spacing w:after="0" w:line="237" w:lineRule="auto"/>
        <w:rPr>
          <w:sz w:val="20"/>
          <w:szCs w:val="20"/>
          <w:color w:val="auto"/>
        </w:rPr>
      </w:pPr>
      <w:r>
        <w:rPr>
          <w:rFonts w:ascii="Arial" w:cs="Arial" w:eastAsia="Arial" w:hAnsi="Arial"/>
          <w:sz w:val="18"/>
          <w:szCs w:val="18"/>
          <w:color w:val="auto"/>
        </w:rPr>
        <w:t>in the credit quality of the securities. The Company believes that any unrealized losses are recoverable prior to the investment's conversion to cash.</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 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26,864</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50,588</w:t>
            </w:r>
          </w:p>
        </w:tc>
        <w:tc>
          <w:tcPr>
            <w:tcW w:w="0" w:type="dxa"/>
            <w:vAlign w:val="bottom"/>
          </w:tcPr>
          <w:p>
            <w:pPr>
              <w:spacing w:after="0"/>
              <w:rPr>
                <w:sz w:val="1"/>
                <w:szCs w:val="1"/>
                <w:color w:val="auto"/>
              </w:rPr>
            </w:pPr>
          </w:p>
        </w:tc>
      </w:tr>
      <w:tr>
        <w:trPr>
          <w:trHeight w:val="229"/>
        </w:trPr>
        <w:tc>
          <w:tcPr>
            <w:tcW w:w="402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51,314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51,314</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101,902</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101,902</w:t>
            </w:r>
          </w:p>
        </w:tc>
        <w:tc>
          <w:tcPr>
            <w:tcW w:w="0" w:type="dxa"/>
            <w:vAlign w:val="bottom"/>
          </w:tcPr>
          <w:p>
            <w:pPr>
              <w:spacing w:after="0"/>
              <w:rPr>
                <w:sz w:val="1"/>
                <w:szCs w:val="1"/>
                <w:color w:val="auto"/>
              </w:rPr>
            </w:pPr>
          </w:p>
        </w:tc>
      </w:tr>
      <w:tr>
        <w:trPr>
          <w:trHeight w:val="155"/>
        </w:trPr>
        <w:tc>
          <w:tcPr>
            <w:tcW w:w="4020" w:type="dxa"/>
            <w:vAlign w:val="bottom"/>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26,864</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101,902</w:t>
            </w:r>
          </w:p>
        </w:tc>
        <w:tc>
          <w:tcPr>
            <w:tcW w:w="80" w:type="dxa"/>
            <w:vAlign w:val="bottom"/>
          </w:tcPr>
          <w:p>
            <w:pPr>
              <w:spacing w:after="0"/>
              <w:rPr>
                <w:sz w:val="13"/>
                <w:szCs w:val="13"/>
                <w:color w:val="auto"/>
              </w:rPr>
            </w:pPr>
          </w:p>
        </w:tc>
        <w:tc>
          <w:tcPr>
            <w:tcW w:w="1160" w:type="dxa"/>
            <w:vAlign w:val="bottom"/>
            <w:vMerge w:val="restart"/>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128,766</w:t>
            </w:r>
          </w:p>
        </w:tc>
        <w:tc>
          <w:tcPr>
            <w:tcW w:w="0" w:type="dxa"/>
            <w:vAlign w:val="bottom"/>
          </w:tcPr>
          <w:p>
            <w:pPr>
              <w:spacing w:after="0"/>
              <w:rPr>
                <w:sz w:val="1"/>
                <w:szCs w:val="1"/>
                <w:color w:val="auto"/>
              </w:rPr>
            </w:pPr>
          </w:p>
        </w:tc>
      </w:tr>
      <w:tr>
        <w:trPr>
          <w:trHeight w:val="221"/>
        </w:trPr>
        <w:tc>
          <w:tcPr>
            <w:tcW w:w="4020" w:type="dxa"/>
            <w:vAlign w:val="bottom"/>
          </w:tcPr>
          <w:p>
            <w:pPr>
              <w:ind w:left="500"/>
              <w:spacing w:after="0"/>
              <w:rPr>
                <w:sz w:val="20"/>
                <w:szCs w:val="20"/>
                <w:color w:val="auto"/>
              </w:rPr>
            </w:pPr>
            <w:r>
              <w:rPr>
                <w:rFonts w:ascii="Arial" w:cs="Arial" w:eastAsia="Arial" w:hAnsi="Arial"/>
                <w:sz w:val="18"/>
                <w:szCs w:val="18"/>
                <w:color w:val="auto"/>
              </w:rPr>
              <w:t>Recurring Basis</w:t>
            </w:r>
          </w:p>
        </w:tc>
        <w:tc>
          <w:tcPr>
            <w:tcW w:w="3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4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59,248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180,519</w:t>
            </w: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Company's effective tax rate for the three and six months ended June 30, 2024 was 41.2% and 25.2%, respectively. The Company's effective tax rate for the three and six months ended June 30, 2023 was 22.9%. The effective tax rate represents a blend of federal and state taxes and includes the impact of certain nondeductible or nontaxable items. The increase in the effective tax rate during the three and six months ended June 30, 2024 was due to the impact of permanent stock compensation items on the effective rate.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total Tax Receivable Agreement ("TRA") balance as of June 30, 2024 and December 31, 2023 was $97,694 and $101,044, of which $7,984 and $3,250 was current, respectively. The TRA liability is an estimate and actual amounts payable under the TRA could differ from this estimate. During the six months ended June 30, 2024 and 2023, the Company made payments of $3,350 and $2,425, respectively,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8620" w:hanging="332"/>
        <w:spacing w:after="0" w:line="523" w:lineRule="auto"/>
        <w:tabs>
          <w:tab w:leader="none" w:pos="36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Equity Transactions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Repurchases</w:t>
      </w:r>
    </w:p>
    <w:p>
      <w:pPr>
        <w:spacing w:after="0" w:line="223"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The Company maintains a stock repurchase program, which has no expiration date and may be modified, suspended, or terminated by the Company's Board of Directors at any time. As of June 30, 2024, the Company did not have any remaining amount of Board authorization to repurchase shares of its Common Stock.</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six months ended June 30, 2024, the Company completed open market repurchases for 755,284 shares of its Common Stock at a total cost of $11,493, or an average price of $ 15.22 per share. During the six months ended June 30, 2023, the Company repurchased 1,166,751 shares of its Common Stock at a total cost of $22,249, or an average price of $19.07 per share. The repurchases were part of a secondary public offering of the Company's shares by the Apollo Stockholder, as well as open market purchases. The settlement of a $25,000 Accelerated Share Repurchase Program occurred during January 2023, upon which the Company received an additional 480,932 shares.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On December 13, 2019, the Company signed a six-year contract with Amazon to provide cargo services under the ATSA. In connection with the ATSA, the Company issued warrants to Amazon to purchase an aggregate of up to 9,482,606 shares of common stock at an exercise price of approximately $15.17 per share. During the six months ended June 30, 2024 and 2023, 442,521 warrants vested in each respective period. As of June 30, 2024 and 2023, the cumulative vested warrants held by Amazon were 3,666,614 and 2,844,789, respectively. The exercise period of these warrants is through the eighth anniversary of the issue date. No incremental warrants were issued, nor was the original warrant agreement modified, upon the signing of the A&amp;R ATSA. For more information on the A&amp;R ATSA, see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Compensation</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first quarter of 2024, the Company issued performance-based restricted stock units (“PRSUs”) to certain employees. The PRSUs are long-term incentive opportunities that represent the right to receive shares of the Company’s Common Stock based on the achievement of certain performance conditions over a three-year period. Potential payouts range from 50%-150% of a target level. The maximum number of shares that may be issued on the PRSU vesting date is 259,095. The Company recognizes PRSU stock compensation expense to the extent it is probable the performance condition(s) will be satisfied.</w:t>
      </w:r>
    </w:p>
    <w:p>
      <w:pPr>
        <w:spacing w:after="0" w:line="17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8</w:t>
      </w:r>
      <w:r>
        <w:rPr>
          <w:rFonts w:ascii="Arial" w:cs="Arial" w:eastAsia="Arial" w:hAnsi="Arial"/>
          <w:sz w:val="18"/>
          <w:szCs w:val="18"/>
          <w:color w:val="000000"/>
        </w:rPr>
        <w:t>), and probable future purchases of aircraft.</w:t>
      </w:r>
    </w:p>
    <w:p>
      <w:pPr>
        <w:spacing w:after="0" w:line="15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$ 2,700 from the IRS related to the results of the audit. The Company has appealed the results of the audit through a Formal Protest with the IRS. The Company believes a loss in this matter is not probable and has not recognized a loss contingency as of June 30,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financial information for the Company’s two operating segments: Passenger and Cargo.</w:t>
      </w:r>
    </w:p>
    <w:p>
      <w:pPr>
        <w:spacing w:after="0" w:line="302"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rPr>
              <w:t>Three Months Ended June 30, 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rPr>
              <w:t>Three Months Ended June 30, 2023</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Cargo</w:t>
            </w:r>
          </w:p>
        </w:tc>
        <w:tc>
          <w:tcPr>
            <w:tcW w:w="16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160" w:type="dxa"/>
            <w:vAlign w:val="bottom"/>
          </w:tcPr>
          <w:p>
            <w:pPr>
              <w:spacing w:after="0"/>
              <w:rPr>
                <w:sz w:val="17"/>
                <w:szCs w:val="17"/>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4"/>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236,069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261,086</w:t>
            </w:r>
          </w:p>
        </w:tc>
        <w:tc>
          <w:tcPr>
            <w:tcW w:w="0" w:type="dxa"/>
            <w:vAlign w:val="bottom"/>
          </w:tcPr>
          <w:p>
            <w:pPr>
              <w:spacing w:after="0"/>
              <w:rPr>
                <w:sz w:val="1"/>
                <w:szCs w:val="1"/>
                <w:color w:val="auto"/>
              </w:rPr>
            </w:pPr>
          </w:p>
        </w:tc>
      </w:tr>
      <w:tr>
        <w:trPr>
          <w:trHeight w:val="156"/>
        </w:trPr>
        <w:tc>
          <w:tcPr>
            <w:tcW w:w="2360" w:type="dxa"/>
            <w:vAlign w:val="bottom"/>
          </w:tcPr>
          <w:p>
            <w:pPr>
              <w:ind w:left="100"/>
              <w:spacing w:after="0" w:line="156" w:lineRule="exact"/>
              <w:rPr>
                <w:sz w:val="20"/>
                <w:szCs w:val="20"/>
                <w:color w:val="auto"/>
              </w:rPr>
            </w:pPr>
            <w:r>
              <w:rPr>
                <w:rFonts w:ascii="Arial" w:cs="Arial" w:eastAsia="Arial" w:hAnsi="Arial"/>
                <w:sz w:val="18"/>
                <w:szCs w:val="18"/>
                <w:color w:val="auto"/>
              </w:rPr>
              <w:t>Non-Fuel Operating</w:t>
            </w:r>
          </w:p>
        </w:tc>
        <w:tc>
          <w:tcPr>
            <w:tcW w:w="1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154,213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25,615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179,828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146,207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173,139</w:t>
            </w:r>
          </w:p>
        </w:tc>
        <w:tc>
          <w:tcPr>
            <w:tcW w:w="0" w:type="dxa"/>
            <w:vAlign w:val="bottom"/>
          </w:tcPr>
          <w:p>
            <w:pPr>
              <w:spacing w:after="0"/>
              <w:rPr>
                <w:sz w:val="1"/>
                <w:szCs w:val="1"/>
                <w:color w:val="auto"/>
              </w:rPr>
            </w:pPr>
          </w:p>
        </w:tc>
      </w:tr>
      <w:tr>
        <w:trPr>
          <w:trHeight w:val="243"/>
        </w:trPr>
        <w:tc>
          <w:tcPr>
            <w:tcW w:w="2360" w:type="dxa"/>
            <w:vAlign w:val="bottom"/>
          </w:tcPr>
          <w:p>
            <w:pPr>
              <w:ind w:left="26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52,360</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198,554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225,499</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35,587</w:t>
            </w:r>
          </w:p>
        </w:tc>
        <w:tc>
          <w:tcPr>
            <w:tcW w:w="0" w:type="dxa"/>
            <w:vAlign w:val="bottom"/>
          </w:tcPr>
          <w:p>
            <w:pPr>
              <w:spacing w:after="0"/>
              <w:rPr>
                <w:sz w:val="1"/>
                <w:szCs w:val="1"/>
                <w:color w:val="auto"/>
              </w:rPr>
            </w:pPr>
          </w:p>
        </w:tc>
      </w:tr>
      <w:tr>
        <w:trPr>
          <w:trHeight w:val="190"/>
        </w:trPr>
        <w:tc>
          <w:tcPr>
            <w:tcW w:w="2360" w:type="dxa"/>
            <w:vAlign w:val="bottom"/>
            <w:tcBorders>
              <w:top w:val="single" w:sz="8" w:color="CCEEFF"/>
            </w:tcBorders>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1,800</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rPr>
              <w:t>Six Months Ended June 30, 2024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rPr>
              <w:t>Six Months Ended June 30, 2023</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Cargo</w:t>
            </w:r>
          </w:p>
        </w:tc>
        <w:tc>
          <w:tcPr>
            <w:tcW w:w="16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160" w:type="dxa"/>
            <w:vAlign w:val="bottom"/>
          </w:tcPr>
          <w:p>
            <w:pPr>
              <w:spacing w:after="0"/>
              <w:rPr>
                <w:sz w:val="17"/>
                <w:szCs w:val="17"/>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4"/>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506,823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555,201</w:t>
            </w:r>
          </w:p>
        </w:tc>
        <w:tc>
          <w:tcPr>
            <w:tcW w:w="0" w:type="dxa"/>
            <w:vAlign w:val="bottom"/>
          </w:tcPr>
          <w:p>
            <w:pPr>
              <w:spacing w:after="0"/>
              <w:rPr>
                <w:sz w:val="1"/>
                <w:szCs w:val="1"/>
                <w:color w:val="auto"/>
              </w:rPr>
            </w:pPr>
          </w:p>
        </w:tc>
      </w:tr>
      <w:tr>
        <w:trPr>
          <w:trHeight w:val="155"/>
        </w:trPr>
        <w:tc>
          <w:tcPr>
            <w:tcW w:w="2360" w:type="dxa"/>
            <w:vAlign w:val="bottom"/>
          </w:tcPr>
          <w:p>
            <w:pPr>
              <w:ind w:left="100"/>
              <w:spacing w:after="0" w:line="156" w:lineRule="exact"/>
              <w:rPr>
                <w:sz w:val="20"/>
                <w:szCs w:val="20"/>
                <w:color w:val="auto"/>
              </w:rPr>
            </w:pPr>
            <w:r>
              <w:rPr>
                <w:rFonts w:ascii="Arial" w:cs="Arial" w:eastAsia="Arial" w:hAnsi="Arial"/>
                <w:sz w:val="18"/>
                <w:szCs w:val="18"/>
                <w:color w:val="auto"/>
              </w:rPr>
              <w:t>Non-Fuel Operating</w:t>
            </w:r>
          </w:p>
        </w:tc>
        <w:tc>
          <w:tcPr>
            <w:tcW w:w="1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314,913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50,918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365,831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286,843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52,338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339,181</w:t>
            </w:r>
          </w:p>
        </w:tc>
        <w:tc>
          <w:tcPr>
            <w:tcW w:w="0" w:type="dxa"/>
            <w:vAlign w:val="bottom"/>
          </w:tcPr>
          <w:p>
            <w:pPr>
              <w:spacing w:after="0"/>
              <w:rPr>
                <w:sz w:val="1"/>
                <w:szCs w:val="1"/>
                <w:color w:val="auto"/>
              </w:rPr>
            </w:pPr>
          </w:p>
        </w:tc>
      </w:tr>
      <w:tr>
        <w:trPr>
          <w:trHeight w:val="243"/>
        </w:trPr>
        <w:tc>
          <w:tcPr>
            <w:tcW w:w="2360" w:type="dxa"/>
            <w:vAlign w:val="bottom"/>
          </w:tcPr>
          <w:p>
            <w:pPr>
              <w:ind w:left="26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124,650</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411,456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463,831</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67,541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95,367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91,370</w:t>
            </w:r>
          </w:p>
        </w:tc>
        <w:tc>
          <w:tcPr>
            <w:tcW w:w="0" w:type="dxa"/>
            <w:vAlign w:val="bottom"/>
          </w:tcPr>
          <w:p>
            <w:pPr>
              <w:spacing w:after="0"/>
              <w:rPr>
                <w:sz w:val="1"/>
                <w:szCs w:val="1"/>
                <w:color w:val="auto"/>
              </w:rPr>
            </w:pPr>
          </w:p>
        </w:tc>
      </w:tr>
      <w:tr>
        <w:trPr>
          <w:trHeight w:val="190"/>
        </w:trPr>
        <w:tc>
          <w:tcPr>
            <w:tcW w:w="2360" w:type="dxa"/>
            <w:vAlign w:val="bottom"/>
            <w:tcBorders>
              <w:top w:val="single" w:sz="8" w:color="CCEEFF"/>
            </w:tcBorders>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4,248</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August 2, 2024, the date that the Condensed Consolidated Financial Statements were available to be issued.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six months ended June 30, 2024 and 2023. Also discussed is our financial position as of June 30, 2024 and December 31, 2023.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2023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55">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2023 10-K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 with flights throughout the U.S.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We believe this flexible business model provides greater resiliency to economic and industry downturns than a traditional scheduled service carrier. This strategy has been implemented and executed by an experienced management team with deep knowledge of the industry.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Scheduled Service business combines low costs with a high-quality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ULCCs. However, we offer a high-quality product that we believe is superior to ULCCs and consistent with that of LCCs. For example, our product includes more average legroom than ULCCs, complimentary soft drinks and juices, complimentary in-flight entertainment, and in-seat power, none of which are offered by other ULCCs.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synergistic with our other businesses and provides both inherent diversification and downside protection. Our Charter business has several favorable characteristics, including: large repeat customers, more stable demand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than Scheduled Service flying, and the ability to pass through certain costs, including fuel. Our diverse Charter customer base includes the DoD, collegiate and professional sports teams, and casino operators. Our Charter business includes ad hoc, repeat, short-term and long-term service contracts with pass through fuel arrangements and annual rate escalations. Most of our business is non-cyclical because the DoD and sports teams continue to fly during normal economic downturns and our casino contracts are long-term in nature.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13, 2019, we signed </w:t>
      </w:r>
      <w:r>
        <w:rPr>
          <w:rFonts w:ascii="Arial" w:cs="Arial" w:eastAsia="Arial" w:hAnsi="Arial"/>
          <w:sz w:val="18"/>
          <w:szCs w:val="18"/>
          <w:color w:val="231F20"/>
        </w:rPr>
        <w:t>the</w:t>
      </w:r>
      <w:r>
        <w:rPr>
          <w:rFonts w:ascii="Arial" w:cs="Arial" w:eastAsia="Arial" w:hAnsi="Arial"/>
          <w:sz w:val="18"/>
          <w:szCs w:val="18"/>
          <w:color w:val="auto"/>
        </w:rPr>
        <w:t xml:space="preserve"> ATSA with Amazon to provide air cargo services. Flying under the ATSA began in May 2020 and we are currently operating 12 Boeing 737-800 cargo aircraft for Amazon. During the three months ended June 30, 2024, the Company entered into the A&amp;R ATSA with Amazon that will increase the number of 737-800 cargo aircraft that Sun Country operates on behalf of Amazon from 12 to 20. The A&amp;R ATSA includes revised economics to reflect the higher-cost environment that has ensued since the original ATSA was signed in December 2019. The performance obligations under the A&amp;R ATSA are unchanged from the original ATSA. The first additional aircraft are expected to begin service in the first quarter of 2025. All eight aircraft are expected to be operational by the end of the third quarter of 2025. The A&amp;R ATSA includes an initial six-year term, which runs until October 2030. The agreement includes two additional, two-year renewal terms exercisable at Amazon's option, and a subsequent three-year renewal term subject to mutual written agreement, which, if not agreed to, will trigger a final two-year wind-down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passenger businesses. Our cargo business also enables us to leverage certain assets, capabilities, and fixed costs to enhance profitability and promote growth across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complimentary streaming of in-flight entertainment to passenger devices, seat reclining and seat-back power in all of our aircraft.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Fuel price volatility due to market conditions and geopolitical events, and the impact of macroeconomic conditions, continue to impact the Company, as well as the industry. Our diversified business model, which includes a focus on leisure and VFR passengers, Charter and Cargo service, is unique in the airline sector and helps mitigate the impact of economic and industry downturns on our business when compared with other large U.S. passenger airlines. This strategy has allowed us to offset a majority of additional costs associated with fuel price volatility and the impact of macroeconomic conditions. Additionally, our Charter and Cargo businesses have the ability to pass on certain costs, including fuel. Our flexible business model gives us the ability to adjust our services in response to market conditions, which is targeted at producing the highest possible returns for Sun Country.</w:t>
      </w:r>
    </w:p>
    <w:p>
      <w:pPr>
        <w:spacing w:after="0" w:line="183"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Operations” sections within Part I, </w:t>
      </w:r>
      <w:hyperlink r:id="rId55">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55">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2023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25"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Operations” in Part II, </w:t>
      </w:r>
      <w:hyperlink r:id="rId55">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2023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 xml:space="preserve">Three Months Ended June 30, 2024 </w:t>
            </w:r>
            <w:r>
              <w:rPr>
                <w:rFonts w:ascii="Arial" w:cs="Arial" w:eastAsia="Arial" w:hAnsi="Arial"/>
                <w:sz w:val="14"/>
                <w:szCs w:val="14"/>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1"/>
                <w:szCs w:val="11"/>
                <w:b w:val="1"/>
                <w:bCs w:val="1"/>
                <w:color w:val="auto"/>
              </w:rPr>
              <w:t xml:space="preserve">Three Months Ended June 30, 2023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366"/>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66"/>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7,681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2,537</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3,246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13,610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6,401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2,759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3,184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12,495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5,089</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8,363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37,281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19,561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5,666</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8,570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34,230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9,010,358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1,755,354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3,170,139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14,077,119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7,622,465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1,955,117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3,292,789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13,015,134</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1,675,927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309,857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2,011,921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1,417,778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337,319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1,780,340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14.71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12.93</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1,046</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1,167,039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1,005,126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1,392,312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1,216,261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83.1 %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110.90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66.24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66.43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141.71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177.33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10,023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8,758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21,864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15,128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4,023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19,399</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2.86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2,749</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(7)</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12.67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(8)</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7.88</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right="20" w:hanging="332"/>
        <w:spacing w:after="0" w:line="26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 xml:space="preserve">Six Months Ended June 30, 2024 </w:t>
            </w:r>
            <w:r>
              <w:rPr>
                <w:rFonts w:ascii="Arial" w:cs="Arial" w:eastAsia="Arial" w:hAnsi="Arial"/>
                <w:sz w:val="14"/>
                <w:szCs w:val="14"/>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1"/>
                <w:szCs w:val="11"/>
                <w:b w:val="1"/>
                <w:bCs w:val="1"/>
                <w:color w:val="auto"/>
                <w:w w:val="98"/>
              </w:rPr>
              <w:t xml:space="preserve">Six Months Ended June 30, 2023 </w:t>
            </w:r>
            <w:r>
              <w:rPr>
                <w:rFonts w:ascii="Arial" w:cs="Arial" w:eastAsia="Arial" w:hAnsi="Arial"/>
                <w:sz w:val="14"/>
                <w:szCs w:val="14"/>
                <w:b w:val="1"/>
                <w:bCs w:val="1"/>
                <w:color w:val="auto"/>
                <w:w w:val="98"/>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w w:val="96"/>
              </w:rPr>
              <w:t>Scheduled</w:t>
            </w:r>
          </w:p>
        </w:tc>
        <w:tc>
          <w:tcPr>
            <w:tcW w:w="9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Charter</w:t>
            </w:r>
          </w:p>
        </w:tc>
        <w:tc>
          <w:tcPr>
            <w:tcW w:w="10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366"/>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6"/>
              </w:rPr>
              <w:t>Service</w:t>
            </w:r>
          </w:p>
        </w:tc>
        <w:tc>
          <w:tcPr>
            <w:tcW w:w="9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366"/>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14,850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4,829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6,207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26,149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12,578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5,128</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6,211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24,167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48,896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9,989</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16,052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75,717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41,503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10,720</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16,346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69,313</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19,187,193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3,451,475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6,026,801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28,917,587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16,362,938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3,680,870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6,133,159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26,416,342</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3,568,818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608,915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4,223,807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3,043,506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639,231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3,725,341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16.15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13.45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41.7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1,132</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2,324,550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2,003,364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3,047,163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2,648,392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87.0 %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98.63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131.84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70.32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67.49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168.95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199.33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9,842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8,938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7,032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45,540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7,550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40,472</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2,749</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(7)</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12.45</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(8)</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right="20" w:hanging="332"/>
        <w:spacing w:after="0" w:line="26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2024 and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124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720" w:type="dxa"/>
            <w:vAlign w:val="bottom"/>
            <w:vMerge w:val="restart"/>
          </w:tcPr>
          <w:p>
            <w:pPr>
              <w:jc w:val="right"/>
              <w:ind w:right="7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jc w:val="right"/>
              <w:ind w:right="5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88,078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111,467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(23,389)</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88"/>
        </w:trPr>
        <w:tc>
          <w:tcPr>
            <w:tcW w:w="4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16,517</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w:t>
            </w:r>
          </w:p>
        </w:tc>
        <w:tc>
          <w:tcPr>
            <w:tcW w:w="10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88"/>
        </w:trPr>
        <w:tc>
          <w:tcPr>
            <w:tcW w:w="4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“NM” stands for not meaningful</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Operating Revenues decreased $6,705, or 3%, to $ 254,381 for the three months ended June 30, 2024 as compared to the three months ended June 30, 2023. The revenue decrease was driven by a 20% reduction in Total Fare per passenger as a result of increased industry capacity. These decreases were partially offset by an increase in rental revenue included within Other revenue and an increase in operations which resulted in a 12% increase in Passenger segment departures .</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decreased $11,471, or 5%, to $ 216,395 for the three months ended June 30, 2024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The table below presents select operating data for lines of revenue within Passenger, expressed as quarter-over-quarter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80" w:type="dxa"/>
            <w:vAlign w:val="bottom"/>
          </w:tcPr>
          <w:p>
            <w:pPr>
              <w:jc w:val="right"/>
              <w:ind w:right="4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Passengers</w:t>
            </w:r>
          </w:p>
        </w:tc>
        <w:tc>
          <w:tcPr>
            <w:tcW w:w="3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1,167,039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1,005,126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161,913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base fare per 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110.90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Ancillary revenue per 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66.43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Fare per 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177.33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RPMs (thousands)</w:t>
            </w:r>
          </w:p>
        </w:tc>
        <w:tc>
          <w:tcPr>
            <w:tcW w:w="3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1,392,312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1,216,261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176,051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ASMs (thousands)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1,675,927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1,417,778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258,149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TRASM (cents)</w:t>
            </w:r>
          </w:p>
        </w:tc>
        <w:tc>
          <w:tcPr>
            <w:tcW w:w="3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(2.7)pts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4440" w:type="dxa"/>
            <w:vAlign w:val="bottom"/>
          </w:tcPr>
          <w:p>
            <w:pPr>
              <w:ind w:left="220"/>
              <w:spacing w:after="0"/>
              <w:rPr>
                <w:sz w:val="20"/>
                <w:szCs w:val="20"/>
                <w:color w:val="auto"/>
              </w:rPr>
            </w:pPr>
            <w:r>
              <w:rPr>
                <w:rFonts w:ascii="Arial" w:cs="Arial" w:eastAsia="Arial" w:hAnsi="Arial"/>
                <w:sz w:val="18"/>
                <w:szCs w:val="18"/>
                <w:color w:val="auto"/>
              </w:rPr>
              <w:t>Charter revenue per block hour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8,758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Increased Scheduled Service capacity across the industry resulted in 21% and 20% reductions in TRASM and Total Fare per passenger, respectively. The fare decreases were offset by a 12% increase in average daily aircraft utilization. As a result, Scheduled Service departures increased by 20% and ASMs increased by 18%. This increase in capacity drove the 16% increase in passengers. These volume increases partially offset the quarter-over-quarter decreases in both Total Fare per passenger and TRASM. The 16% increase in Schedule Service passengers during the period also resulted in greater sales of ancillary products.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Passenger revenue was further supported by the $ 1,383, or 3%, increase in Charter revenue during the three months ended June 30, 2024, as compared to the three months ended June 30, 2023. This increase was the result of a 14% improvement in Charter revenue per block hour. The improvement in Charter revenue per block hour was due to rate increases and management initiatives to reduce the number of ferry flights.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$430, or 2%, to $25,447 for the three months ended June 30,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2023. The increase was primarily driven by rate escalations, partially offset by a 2% quarter-over-quarter decrease in block hours.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increased $4,336, or 53%, to $ 12,539 for the three months ended June 30, 2024,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Other revenue benefited from the $9,873 of rental revenue associated with seven leased aircraft during the three months ended June 30, 2024, as compared to $5,871 of rental revenue associated with five leased aircraft during the three months ended June 30,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2"/>
            <w:vMerge w:val="restart"/>
          </w:tcPr>
          <w:p>
            <w:pPr>
              <w:jc w:val="right"/>
              <w:ind w:right="7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Change</w:t>
            </w:r>
          </w:p>
        </w:tc>
        <w:tc>
          <w:tcPr>
            <w:tcW w:w="1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Aircraft Fuel expense increased 19% quarter-over-quarter due to a 6% increase in the average fuel cost per gallon and a 13% increase in consumption.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$3,440, or 5%, to $79,359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as compared to the three months ended June 30, 2023. The quarter-over-quarter increase in Salaries, Wages, and Benefits was impacted by a 12% increase in employee headcount, an increase in block hours as a result of operational growth, and contractual rate increases for our pilots.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by $779 to $0 for the three months ended June 30, 2024,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Aircraft Rent expense decreased due to the composition of our aircraft fleet shifting from aircraft under operating leases to all owned aircraft or aircraft under finance leases.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$1,397, or 9%, to $17,339 for the three months ended June 30,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2023. The quarter-over-quarter increase in Maintenance expense was primarily driven by the increase in the size of our fleet and operations as well as an increase in routine, time-based heavy maintenance events.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$115, or 1%, to $8,392 for the three months ended June 30, 2024,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June 30, 2023. The change quarter-over-quarter was primarily driven by a reduction in credit card fees as a result of the decrease in Total Fare per passenger, as well as a reduction in Global Distribution System ("GDS") fees due to an increase in sales through direct distribution channels.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$1,276, or 6%, to $23,631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as compared to the three months ended June 30, 2023. The increase was due to the impact of a change in the composition of our aircraft fleet that resulted in an increased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number of owned aircraft and aircraft under finance leases. As of June 30, 2024 and 2023, there were 51 and 47 aircraft that were owned or under finance leases, respectively.</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$1,621, or 17%, to $11,368, for the three months ended June 30, 2024,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June 30, 2023. This quarter-over-quarter increase was the result of a 12% increase in Passenger segment departures as a result of our expanding operations, as well as rate increases due to market pressures.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$1,779, or 15%, to $13,723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as compared to the three months ended June 30, 2023. The increase was a result of the exhaustion of the remaining Coronavirus Aid, Relief, and Economic Security Act funding, which increased rates. The increase was also impacted by market pressures and the 12% increase in Passenger segment departures as a result of our expanding operations.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decreased $1,930, or 7%, to $26,016 for the three months ended June 30, 2024,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2023. The decrease was a result of the Company's part sales programs, partially offset by an increase in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$745, or 29%, to $1,800 for the three months ended June 30, 2024,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The decrease was primarily due to the decrease in the Company's investment balance quarter-over-quarter.</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$162, or 1%, to $11,077 for the three months ended June 30,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June 30, 2023. The decrease was primarily due to decreasing debt balances and aircraft transactions financed with operating cash, partially offset by an increase in aircraft under finance leases.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changed by $139 resulting in a net expense of $4 for the three months ended June 30, 2024, as compared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$143 for the three months ended June 30, 2023.</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three months ended June 30, 2024 was 41.2% compared to 22.9%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The increase in the effective tax rate was due to the impact of permanent stock compensation items.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2024 and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7"/>
                <w:szCs w:val="17"/>
                <w:color w:val="auto"/>
              </w:rPr>
            </w:pPr>
          </w:p>
        </w:tc>
        <w:tc>
          <w:tcPr>
            <w:tcW w:w="124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720" w:type="dxa"/>
            <w:vAlign w:val="bottom"/>
            <w:vMerge w:val="restart"/>
          </w:tcPr>
          <w:p>
            <w:pPr>
              <w:jc w:val="right"/>
              <w:ind w:right="7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jc w:val="right"/>
              <w:ind w:right="5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229,272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264,124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(34,852)</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163,466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28,268</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13,722</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555,201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88"/>
        </w:trPr>
        <w:tc>
          <w:tcPr>
            <w:tcW w:w="4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161,597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47,440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463,831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34,492</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(23,829)</w:t>
            </w:r>
          </w:p>
        </w:tc>
        <w:tc>
          <w:tcPr>
            <w:tcW w:w="10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88"/>
        </w:trPr>
        <w:tc>
          <w:tcPr>
            <w:tcW w:w="4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(26,790)</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“NM” stands for not meaningful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Revenues increased $10,663, or 2%, to $565,864 for the six months ended June 30, 2024 as compared to the six months</w:t>
      </w:r>
    </w:p>
    <w:p>
      <w:pPr>
        <w:spacing w:after="0" w:line="14"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ended June 30, 2023. The revenue increase was driven by an increase in rental revenue included within Other revenue, as well as an 11% increase in Passenger segment departures, partially offset by a 15% decrease in Total Fare per passenger as a result of increased industry capacity.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decreased $4,076, or 1%, to $491,059 for the six months ended June 30, 2024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select operating data for lines of revenue within Passenger, expressed as year-over-year changes: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80" w:type="dxa"/>
            <w:vAlign w:val="bottom"/>
          </w:tcPr>
          <w:p>
            <w:pPr>
              <w:jc w:val="right"/>
              <w:ind w:right="4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14,850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2,272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48,896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41,503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7,393</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Passengers</w:t>
            </w:r>
          </w:p>
        </w:tc>
        <w:tc>
          <w:tcPr>
            <w:tcW w:w="3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2,324,550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2,003,364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321,186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base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98.63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131.84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(33.21)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color w:val="auto"/>
              </w:rPr>
              <w:t>Ancillary revenue per passenger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70.32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67.49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168.95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(30.38)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color w:val="auto"/>
              </w:rPr>
              <w:t>RPMs (thousands)</w:t>
            </w:r>
          </w:p>
        </w:tc>
        <w:tc>
          <w:tcPr>
            <w:tcW w:w="3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3,047,163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2,648,392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398,771</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ASMs (thousands)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3,568,818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3,043,506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525,312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color w:val="auto"/>
              </w:rPr>
              <w:t>TRASM (cents)</w:t>
            </w:r>
          </w:p>
        </w:tc>
        <w:tc>
          <w:tcPr>
            <w:tcW w:w="3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191"/>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(1.6)pts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4,829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191"/>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9,989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9"/>
        </w:trPr>
        <w:tc>
          <w:tcPr>
            <w:tcW w:w="4400" w:type="dxa"/>
            <w:vAlign w:val="bottom"/>
          </w:tcPr>
          <w:p>
            <w:pPr>
              <w:ind w:left="220"/>
              <w:spacing w:after="0"/>
              <w:rPr>
                <w:sz w:val="20"/>
                <w:szCs w:val="20"/>
                <w:color w:val="auto"/>
              </w:rPr>
            </w:pPr>
            <w:r>
              <w:rPr>
                <w:rFonts w:ascii="Arial" w:cs="Arial" w:eastAsia="Arial" w:hAnsi="Arial"/>
                <w:sz w:val="18"/>
                <w:szCs w:val="18"/>
                <w:color w:val="auto"/>
              </w:rPr>
              <w:t>Charter revenue per block hour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9,842</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year-over-year decreases in both Total Fare per passenger and TRASM were the result of increased capacity across the industry. The fare decreases were offset by an 11% increase in average daily aircraft utilization. As a result, Scheduled Service departures increased by 18% and ASMs increased by 17%. This increase in capacity drove the 16% increase in passengers. The 16% increase in Schedule Service passengers during the period also resulted in greater sales of ancillary products.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Passenger revenue was further supported by the $2,508, or 3%, increase in Charter revenue during the six months ended June 30, 2024, as compared to the six months ended June 30, 2023. The increase was primarily due to the 10% increase in Charter revenue per block hour. The improvement in Charter revenue per block hour was due to rate increases and management initiatives to reduce the number of ferry flights.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$ 1,017, or 2%, to $49,395 for the six months ended June 30, 2024,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The increase was primarily driven by rate escalations, partially offset by a 2% year-over-year decrease in block hours.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increased $13,722, or 117%, to $25,410 for the six months ended June 30, 2024, as compared to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Other revenue benefited from the $19,148 of rental revenue associated with the seven leased aircraft during the six months ended June 30, 2024, as compared to $5,949 in rental revenue associated with the five leased aircraft during the six months ended June 30,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gridSpan w:val="2"/>
            <w:vMerge w:val="restart"/>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increased 6% year-over-year primarily due to a 13% increase in consumption, partially offset by a 5% decrease in the average fuel cost per gallon.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$10,248, or 7%, to $161,597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as compared to the six months ended June 30, 2023. The year-over-year increase in Salaries, Wages, and Benefits was impacted by a 12% increase in employee headcount, an increase in block hours as a result of operational growth, and contractual rate increases for our pilots.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by $2,259 to $0 for the six months ended June 30, 2024, as compared to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Aircraft Rent expense decreased due to the composition of our aircraft fleet shifting from aircraft under operating leases to all owned aircraft or aircraft under finance leases.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$5,175, or 18%, to $34,156 for the six months ended June 30, 2024,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The year-over-year increase in Maintenance expense was primarily driven by an increase in routine, time-based heavy maintenance and landing gear events, as well as the increase in the size of our fleet and operations.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$635, or 3%, to $19,071 for the six months ended June 30, 2024,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six months ended June 30, 2023. The change year-over-year was primarily driven by an increase in advertising and other costs, partially offset by a reduction in credit card fees as a result of the year-over-year decrease in Total Fare per passenger and a reduction in GDS fees due to an increase in sales through direct distribution channels.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$5,625, or 13%, to $47,440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as compared to the six months ended June 30, 2023. The increase was due to the impact of a change in the composition of our aircraft fleet that resulted in an increased number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owned aircraft and aircraft under finance leases. As of June 30, 2024 and 2023, there were 51 and 47 aircraft that were owned or under finance leases, respectively.</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$1,605, or 8%</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$20,522, for the six months ended June 30, 2024,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2023. The year-over-year increase was primarily the result of an 11% increase in Passenger segment departures as a result of our expanding operations, as well as rate increases due to market pressures. Ground Handling expenses during the six months ended June 30, 2023 were significantly impacted by the challenging winter weather conditions at our main hub, the Minneapolis – St. Paul International Airport.</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$5,563, or 24%, to $28,452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as compared to the six months ended June 30, 2023. The increase was a result of the exhaustion of the remaining Coronavirus Aid, Relief, and Economic Security Act funding, which increased rates. The increase was also impacted by market pressures and the 11% increase in Passenger segment departures as a result of our expanding operations.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for the six months ended June 30, 2024 was materially unchanged year-over-year. This was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our part sales programs, mostly offset by an increase in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$1,038, or 20%, to $4,248 for the six months ended June 30, 2024,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The decrease was primarily due to the decrease in the Company's investment balance year-over-year.</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$2,320, or 12%, to $22,189 for the six months ended June 30, 2024,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June 30, 2023. The increase was due to the change in our aircraft fleet that resulted in an increase of aircraft under finance leases and owned aircraft that were financed with debt proceeds.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changed by $397, or 112% to a net benefit of $42 for the six months ended June 30, 2024, as compared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$355 for the six months ended June 30, 2023. The change is a result of secondary offering costs incurred during the six months ended June 30, 2023.</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six months ended June 30, 2024 was 25.2% compared to 22.9%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The increase in the effective tax rate was due to the impact of permanent stock compensation items.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2024 and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4"/>
                <w:szCs w:val="14"/>
                <w:b w:val="1"/>
                <w:bCs w:val="1"/>
                <w:color w:val="auto"/>
              </w:rPr>
              <w:t>Three Months Ended June 30, 2024</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4"/>
                <w:szCs w:val="14"/>
                <w:b w:val="1"/>
                <w:bCs w:val="1"/>
                <w:color w:val="auto"/>
              </w:rPr>
              <w:t>Three Months Ended June 30, 2023</w:t>
            </w:r>
          </w:p>
        </w:tc>
        <w:tc>
          <w:tcPr>
            <w:tcW w:w="940" w:type="dxa"/>
            <w:vAlign w:val="bottom"/>
            <w:tcBorders>
              <w:bottom w:val="single" w:sz="8" w:color="auto"/>
            </w:tcBorders>
          </w:tcPr>
          <w:p>
            <w:pPr>
              <w:spacing w:after="0"/>
              <w:rPr>
                <w:sz w:val="17"/>
                <w:szCs w:val="17"/>
                <w:color w:val="auto"/>
              </w:rPr>
            </w:pPr>
          </w:p>
        </w:tc>
      </w:tr>
      <w:tr>
        <w:trPr>
          <w:trHeight w:val="223"/>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48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2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Cargo</w:t>
            </w:r>
          </w:p>
        </w:tc>
        <w:tc>
          <w:tcPr>
            <w:tcW w:w="460" w:type="dxa"/>
            <w:vAlign w:val="bottom"/>
          </w:tcPr>
          <w:p>
            <w:pPr>
              <w:spacing w:after="0"/>
              <w:rPr>
                <w:sz w:val="19"/>
                <w:szCs w:val="19"/>
                <w:color w:val="auto"/>
              </w:rPr>
            </w:pPr>
          </w:p>
        </w:tc>
        <w:tc>
          <w:tcPr>
            <w:tcW w:w="94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7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228,934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25,447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254,381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236,069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261,086</w:t>
            </w:r>
          </w:p>
        </w:tc>
      </w:tr>
      <w:tr>
        <w:trPr>
          <w:trHeight w:val="250"/>
        </w:trPr>
        <w:tc>
          <w:tcPr>
            <w:tcW w:w="23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7"/>
        </w:trPr>
        <w:tc>
          <w:tcPr>
            <w:tcW w:w="23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62,180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62,188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52,347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52,360</w:t>
            </w:r>
          </w:p>
        </w:tc>
      </w:tr>
      <w:tr>
        <w:trPr>
          <w:trHeight w:val="2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2"/>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62,508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16,851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79,359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75,919</w:t>
            </w:r>
          </w:p>
        </w:tc>
      </w:tr>
      <w:tr>
        <w:trPr>
          <w:trHeight w:val="247"/>
        </w:trPr>
        <w:tc>
          <w:tcPr>
            <w:tcW w:w="238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779</w:t>
            </w:r>
          </w:p>
        </w:tc>
      </w:tr>
      <w:tr>
        <w:trPr>
          <w:trHeight w:val="2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17,339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15,942</w:t>
            </w:r>
          </w:p>
        </w:tc>
      </w:tr>
      <w:tr>
        <w:trPr>
          <w:trHeight w:val="247"/>
        </w:trPr>
        <w:tc>
          <w:tcPr>
            <w:tcW w:w="23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8,392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8,392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8,507</w:t>
            </w:r>
          </w:p>
        </w:tc>
      </w:tr>
      <w:tr>
        <w:trPr>
          <w:trHeight w:val="2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2"/>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23,626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23,631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22,355</w:t>
            </w:r>
          </w:p>
        </w:tc>
      </w:tr>
      <w:tr>
        <w:trPr>
          <w:trHeight w:val="247"/>
        </w:trPr>
        <w:tc>
          <w:tcPr>
            <w:tcW w:w="238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11,368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11,368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9,747</w:t>
            </w:r>
          </w:p>
        </w:tc>
      </w:tr>
      <w:tr>
        <w:trPr>
          <w:trHeight w:val="2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2"/>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13,723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11,944</w:t>
            </w:r>
          </w:p>
        </w:tc>
      </w:tr>
      <w:tr>
        <w:trPr>
          <w:trHeight w:val="247"/>
        </w:trPr>
        <w:tc>
          <w:tcPr>
            <w:tcW w:w="238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20,891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26,016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27,946</w:t>
            </w:r>
          </w:p>
        </w:tc>
      </w:tr>
      <w:tr>
        <w:trPr>
          <w:trHeight w:val="23"/>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2380" w:type="dxa"/>
            <w:vAlign w:val="bottom"/>
            <w:shd w:val="clear" w:color="auto" w:fill="CCEEFF"/>
          </w:tcPr>
          <w:p>
            <w:pPr>
              <w:ind w:left="360"/>
              <w:spacing w:after="0" w:line="204" w:lineRule="exact"/>
              <w:rPr>
                <w:sz w:val="20"/>
                <w:szCs w:val="20"/>
                <w:color w:val="auto"/>
              </w:rPr>
            </w:pPr>
            <w:r>
              <w:rPr>
                <w:rFonts w:ascii="Arial" w:cs="Arial" w:eastAsia="Arial" w:hAnsi="Arial"/>
                <w:sz w:val="18"/>
                <w:szCs w:val="18"/>
                <w:color w:val="auto"/>
              </w:rPr>
              <w:t>Total Operating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62"/>
        </w:trPr>
        <w:tc>
          <w:tcPr>
            <w:tcW w:w="2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216,393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25,623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242,016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198,554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225,499</w:t>
            </w:r>
          </w:p>
        </w:tc>
      </w:tr>
      <w:tr>
        <w:trPr>
          <w:trHeight w:val="263"/>
        </w:trPr>
        <w:tc>
          <w:tcPr>
            <w:tcW w:w="23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12,541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12,365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37,515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35,587</w:t>
            </w:r>
          </w:p>
        </w:tc>
      </w:tr>
      <w:tr>
        <w:trPr>
          <w:trHeight w:val="46"/>
        </w:trPr>
        <w:tc>
          <w:tcPr>
            <w:tcW w:w="23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70"/>
        </w:trPr>
        <w:tc>
          <w:tcPr>
            <w:tcW w:w="2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220" w:type="dxa"/>
            <w:vAlign w:val="bottom"/>
            <w:tcBorders>
              <w:top w:val="single" w:sz="8" w:color="CCEEFF"/>
              <w:bottom w:val="single" w:sz="8" w:color="auto"/>
            </w:tcBorders>
          </w:tcPr>
          <w:p>
            <w:pPr>
              <w:spacing w:after="0"/>
              <w:rPr>
                <w:sz w:val="23"/>
                <w:szCs w:val="23"/>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8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bottom w:val="single" w:sz="8" w:color="auto"/>
            </w:tcBorders>
          </w:tcPr>
          <w:p>
            <w:pPr>
              <w:spacing w:after="0"/>
              <w:rPr>
                <w:sz w:val="23"/>
                <w:szCs w:val="23"/>
                <w:color w:val="auto"/>
              </w:rPr>
            </w:pP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bottom w:val="single" w:sz="8" w:color="auto"/>
            </w:tcBorders>
          </w:tcPr>
          <w:p>
            <w:pPr>
              <w:spacing w:after="0"/>
              <w:rPr>
                <w:sz w:val="23"/>
                <w:szCs w:val="23"/>
                <w:color w:val="auto"/>
              </w:rPr>
            </w:pP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13.6 %</w:t>
            </w:r>
          </w:p>
        </w:tc>
      </w:tr>
      <w:tr>
        <w:trPr>
          <w:trHeight w:val="21"/>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$24,974 to $12,541 for the three months ended June 30, 2024,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2023. The Operating Margin Percentage for the three months ended June 30, 2024 decreased by 10.4 percentage points, as compared to the three months ended June 30, 2023. The quarter-over-quarter decrease in Passenger Operating Income and Operating Margin Percentage was primarily driven by a 20% reduction in Total Fare per passenger as a result of increased capacity across the industry. Operating Income and Operating Margin Percentage were also pressured by increased expenses associated with our operational growth, contractual rate increases for our pilots, an increase in heavy maintenance events, and rate increases for Landing Fees and Airport Rent.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Loss decreased by $1,752, to $176, for the three months ended June 30, 2024,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Operating Margin Percentage for the three months ended June 30, 2024 improved by 7.0 percentage points, as compared to the three months ended June 30, 2023. The changes in both Operating Loss and Operating Margin Percentage were driven by rate escalations and scheduling efficiency improvements between our segments, which offset the contractual rate increases for our pilots and resulted in materially consistent quarter-over-quarter Operating Expenses. For more information on the components of Operating Income for the Cargo segment, refer to the Results of Operations discussion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2024 and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rPr>
              <w:t>Six Months Ended June 30, 2024</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Six Months Ended June 30, 2023</w:t>
            </w:r>
          </w:p>
        </w:tc>
        <w:tc>
          <w:tcPr>
            <w:tcW w:w="960" w:type="dxa"/>
            <w:vAlign w:val="bottom"/>
            <w:tcBorders>
              <w:bottom w:val="single" w:sz="8" w:color="auto"/>
            </w:tcBorders>
          </w:tcPr>
          <w:p>
            <w:pPr>
              <w:spacing w:after="0"/>
              <w:rPr>
                <w:sz w:val="17"/>
                <w:szCs w:val="17"/>
                <w:color w:val="auto"/>
              </w:rPr>
            </w:pPr>
          </w:p>
        </w:tc>
      </w:tr>
      <w:tr>
        <w:trPr>
          <w:trHeight w:val="223"/>
        </w:trPr>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Cargo</w:t>
            </w:r>
          </w:p>
        </w:tc>
        <w:tc>
          <w:tcPr>
            <w:tcW w:w="40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Cargo</w:t>
            </w:r>
          </w:p>
        </w:tc>
        <w:tc>
          <w:tcPr>
            <w:tcW w:w="420" w:type="dxa"/>
            <w:vAlign w:val="bottom"/>
          </w:tcPr>
          <w:p>
            <w:pPr>
              <w:spacing w:after="0"/>
              <w:rPr>
                <w:sz w:val="19"/>
                <w:szCs w:val="19"/>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70"/>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516,469</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49,395</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565,864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506,823</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555,201</w:t>
            </w:r>
          </w:p>
        </w:tc>
      </w:tr>
      <w:tr>
        <w:trPr>
          <w:trHeight w:val="250"/>
        </w:trPr>
        <w:tc>
          <w:tcPr>
            <w:tcW w:w="23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7"/>
        </w:trPr>
        <w:tc>
          <w:tcPr>
            <w:tcW w:w="232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132,484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124,613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124,650</w:t>
            </w:r>
          </w:p>
        </w:tc>
      </w:tr>
      <w:tr>
        <w:trPr>
          <w:trHeight w:val="23"/>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2"/>
        </w:trPr>
        <w:tc>
          <w:tcPr>
            <w:tcW w:w="2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128,096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33,501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116,553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151,349</w:t>
            </w:r>
          </w:p>
        </w:tc>
      </w:tr>
      <w:tr>
        <w:trPr>
          <w:trHeight w:val="247"/>
        </w:trPr>
        <w:tc>
          <w:tcPr>
            <w:tcW w:w="232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4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2,259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2,259</w:t>
            </w:r>
          </w:p>
        </w:tc>
      </w:tr>
      <w:tr>
        <w:trPr>
          <w:trHeight w:val="23"/>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6,899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21,660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28,981</w:t>
            </w:r>
          </w:p>
        </w:tc>
      </w:tr>
      <w:tr>
        <w:trPr>
          <w:trHeight w:val="247"/>
        </w:trPr>
        <w:tc>
          <w:tcPr>
            <w:tcW w:w="23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19,071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18,436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18,436</w:t>
            </w:r>
          </w:p>
        </w:tc>
      </w:tr>
      <w:tr>
        <w:trPr>
          <w:trHeight w:val="23"/>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2"/>
        </w:trPr>
        <w:tc>
          <w:tcPr>
            <w:tcW w:w="2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47,430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41,771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41,815</w:t>
            </w:r>
          </w:p>
        </w:tc>
      </w:tr>
      <w:tr>
        <w:trPr>
          <w:trHeight w:val="247"/>
        </w:trPr>
        <w:tc>
          <w:tcPr>
            <w:tcW w:w="232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20,513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18,917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18,917</w:t>
            </w:r>
          </w:p>
        </w:tc>
      </w:tr>
      <w:tr>
        <w:trPr>
          <w:trHeight w:val="23"/>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2"/>
        </w:trPr>
        <w:tc>
          <w:tcPr>
            <w:tcW w:w="2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28,151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22,889</w:t>
            </w:r>
          </w:p>
        </w:tc>
      </w:tr>
      <w:tr>
        <w:trPr>
          <w:trHeight w:val="247"/>
        </w:trPr>
        <w:tc>
          <w:tcPr>
            <w:tcW w:w="232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44,395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10,198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54,593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44,560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54,535</w:t>
            </w:r>
          </w:p>
        </w:tc>
      </w:tr>
      <w:tr>
        <w:trPr>
          <w:trHeight w:val="23"/>
        </w:trPr>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2320" w:type="dxa"/>
            <w:vAlign w:val="bottom"/>
            <w:shd w:val="clear" w:color="auto" w:fill="CCEEFF"/>
          </w:tcPr>
          <w:p>
            <w:pPr>
              <w:ind w:left="360"/>
              <w:spacing w:after="0" w:line="204" w:lineRule="exact"/>
              <w:rPr>
                <w:sz w:val="20"/>
                <w:szCs w:val="20"/>
                <w:color w:val="auto"/>
              </w:rPr>
            </w:pPr>
            <w:r>
              <w:rPr>
                <w:rFonts w:ascii="Arial" w:cs="Arial" w:eastAsia="Arial" w:hAnsi="Arial"/>
                <w:sz w:val="18"/>
                <w:szCs w:val="18"/>
                <w:color w:val="auto"/>
              </w:rPr>
              <w:t>Total Operating</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62"/>
        </w:trPr>
        <w:tc>
          <w:tcPr>
            <w:tcW w:w="2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447,397</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50,926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498,323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411,456</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463,831</w:t>
            </w:r>
          </w:p>
        </w:tc>
      </w:tr>
      <w:tr>
        <w:trPr>
          <w:trHeight w:val="263"/>
        </w:trPr>
        <w:tc>
          <w:tcPr>
            <w:tcW w:w="23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69,072</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(1,531)</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95,367</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91,370</w:t>
            </w:r>
          </w:p>
        </w:tc>
      </w:tr>
      <w:tr>
        <w:trPr>
          <w:trHeight w:val="46"/>
        </w:trPr>
        <w:tc>
          <w:tcPr>
            <w:tcW w:w="23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70"/>
        </w:trPr>
        <w:tc>
          <w:tcPr>
            <w:tcW w:w="23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240" w:type="dxa"/>
            <w:vAlign w:val="bottom"/>
            <w:tcBorders>
              <w:top w:val="single" w:sz="8" w:color="CCEEFF"/>
              <w:bottom w:val="single" w:sz="8" w:color="auto"/>
            </w:tcBorders>
          </w:tcPr>
          <w:p>
            <w:pPr>
              <w:spacing w:after="0"/>
              <w:rPr>
                <w:sz w:val="23"/>
                <w:szCs w:val="23"/>
                <w:color w:val="auto"/>
              </w:rPr>
            </w:pPr>
          </w:p>
        </w:tc>
        <w:tc>
          <w:tcPr>
            <w:tcW w:w="1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bottom w:val="single" w:sz="8" w:color="auto"/>
            </w:tcBorders>
          </w:tcPr>
          <w:p>
            <w:pPr>
              <w:spacing w:after="0"/>
              <w:rPr>
                <w:sz w:val="23"/>
                <w:szCs w:val="23"/>
                <w:color w:val="auto"/>
              </w:rPr>
            </w:pP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bottom w:val="single" w:sz="8" w:color="auto"/>
            </w:tcBorders>
          </w:tcPr>
          <w:p>
            <w:pPr>
              <w:spacing w:after="0"/>
              <w:rPr>
                <w:sz w:val="23"/>
                <w:szCs w:val="23"/>
                <w:color w:val="auto"/>
              </w:rPr>
            </w:pPr>
          </w:p>
        </w:tc>
        <w:tc>
          <w:tcPr>
            <w:tcW w:w="1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bottom w:val="single" w:sz="8" w:color="auto"/>
            </w:tcBorders>
          </w:tcPr>
          <w:p>
            <w:pPr>
              <w:spacing w:after="0"/>
              <w:rPr>
                <w:sz w:val="23"/>
                <w:szCs w:val="23"/>
                <w:color w:val="auto"/>
              </w:rPr>
            </w:pP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16.5 %</w:t>
            </w:r>
          </w:p>
        </w:tc>
      </w:tr>
      <w:tr>
        <w:trPr>
          <w:trHeight w:val="20"/>
        </w:trPr>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$26,295 to $ 69,072 for the six months ended June 30, 2024,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The Operating Margin Percentage for the six months ended June 30, 2024 decreased by 5.4 percentage points, as compared to the six months ended June 30, 2023. The year-over-year decrease in Passenger Operating Income and Operating Margin Percentage was primarily driven by a 15% decrease in Total Fare per passenger as a result of increased capacity across the industry, partially offset by an 11% increase in Passenger segment departures. Operating Income and Operating Margin Percentage were further impacted by increased expenses associated with our operational growth, contractual rate increases for our pilots, an increase in heavy maintenance and landing gear events, and rate increases for Landing Fees and Airport Rent.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Loss decreased by $2,466, to $1,531, for the six months ended June 30, 2024, as compared to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Operating Margin Percentage for the six months ended June 30, 2024 improved by 5.2 percentage points, as compared to the six months ended June 30, 2023. The changes in both Operating Loss and Operating Margin Percentage were driven by rate escalations and scheduling efficiency improvements between our segments, which offset the contractual rate increases for our pilots and resulted in materially consistent year-over-year Operating Expenses. For more information on the components of Operating Income for the Cargo segment, refer to the Results of Operations discussion above.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308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2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254,381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261,086</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565,864</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555,201</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35,587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67,541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91,370</w:t>
            </w:r>
          </w:p>
        </w:tc>
      </w:tr>
      <w:tr>
        <w:trPr>
          <w:trHeight w:val="162"/>
        </w:trPr>
        <w:tc>
          <w:tcPr>
            <w:tcW w:w="4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4,415</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3,084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7,093</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40,002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70,625</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98,463</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29"/>
        </w:trPr>
        <w:tc>
          <w:tcPr>
            <w:tcW w:w="4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36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0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37,125</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58,946</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60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0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(1)</w:t>
            </w:r>
          </w:p>
        </w:tc>
        <w:tc>
          <w:tcPr>
            <w:tcW w:w="100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39,500</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64,543</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46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41" w:lineRule="exact"/>
        <w:rPr>
          <w:rFonts w:ascii="Arial" w:cs="Arial" w:eastAsia="Arial" w:hAnsi="Arial"/>
          <w:sz w:val="14"/>
          <w:szCs w:val="14"/>
          <w:color w:val="auto"/>
        </w:rPr>
      </w:pPr>
    </w:p>
    <w:p>
      <w:pPr>
        <w:ind w:left="580" w:right="120" w:hanging="554"/>
        <w:spacing w:after="0" w:line="264"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 The TRA adjustment is not included within the income tax effect calculation.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Pr>
          <w:p>
            <w:pPr>
              <w:spacing w:after="0"/>
              <w:rPr>
                <w:sz w:val="17"/>
                <w:szCs w:val="17"/>
                <w:color w:val="auto"/>
              </w:rPr>
            </w:pPr>
          </w:p>
        </w:tc>
        <w:tc>
          <w:tcPr>
            <w:tcW w:w="336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37,125</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58,946</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47"/>
        </w:trPr>
        <w:tc>
          <w:tcPr>
            <w:tcW w:w="460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9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7"/>
        </w:trPr>
        <w:tc>
          <w:tcPr>
            <w:tcW w:w="46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0" w:type="dxa"/>
            <w:vAlign w:val="bottom"/>
          </w:tcPr>
          <w:p>
            <w:pPr>
              <w:spacing w:after="0"/>
              <w:rPr>
                <w:sz w:val="1"/>
                <w:szCs w:val="1"/>
                <w:color w:val="auto"/>
              </w:rPr>
            </w:pPr>
          </w:p>
        </w:tc>
      </w:tr>
      <w:tr>
        <w:trPr>
          <w:trHeight w:val="247"/>
        </w:trPr>
        <w:tc>
          <w:tcPr>
            <w:tcW w:w="46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12,517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23,631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41,815</w:t>
            </w:r>
          </w:p>
        </w:tc>
        <w:tc>
          <w:tcPr>
            <w:tcW w:w="0" w:type="dxa"/>
            <w:vAlign w:val="bottom"/>
          </w:tcPr>
          <w:p>
            <w:pPr>
              <w:spacing w:after="0"/>
              <w:rPr>
                <w:sz w:val="1"/>
                <w:szCs w:val="1"/>
                <w:color w:val="auto"/>
              </w:rPr>
            </w:pPr>
          </w:p>
        </w:tc>
      </w:tr>
      <w:tr>
        <w:trPr>
          <w:trHeight w:val="264"/>
        </w:trPr>
        <w:tc>
          <w:tcPr>
            <w:tcW w:w="46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37,562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118,107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140,206</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4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have entered into a series of transactions where we serve as an aircraft lessor. As of June 30, 2024, we leased or subleased seven aircraft.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Depreciation and Amortization expense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242,016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225,499</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140,219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4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74"/>
        </w:trPr>
        <w:tc>
          <w:tcPr>
            <w:tcW w:w="4880" w:type="dxa"/>
            <w:vAlign w:val="bottom"/>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2,011,921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1,780,340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cents)</w:t>
            </w:r>
          </w:p>
        </w:tc>
      </w:tr>
      <w:tr>
        <w:trPr>
          <w:trHeight w:val="26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498,323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463,831</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124,650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7,093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307,386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278,335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4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74"/>
        </w:trPr>
        <w:tc>
          <w:tcPr>
            <w:tcW w:w="4880" w:type="dxa"/>
            <w:vAlign w:val="bottom"/>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4,223,807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3,725,341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10"/>
        </w:trPr>
        <w:tc>
          <w:tcPr>
            <w:tcW w:w="48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41" w:lineRule="exact"/>
        <w:rPr>
          <w:sz w:val="20"/>
          <w:szCs w:val="20"/>
          <w:color w:val="auto"/>
        </w:rPr>
      </w:pPr>
    </w:p>
    <w:p>
      <w:pPr>
        <w:ind w:left="580" w:hanging="554"/>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June 30, 2024 included our existing cash and cash equivalents of $26,864 and short-term investments of $108,301, our expected cash generated from operations, and the $24,393 of available funds from the Revolving Credit Facility. In addition, we had restricted cash of $7,173 as of June 30, 2024, which generally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We do not maintain an aircraft order book; instead, we enter into aircraft transactions on an opportunistic basis based on market conditions, our prevailing level of liquidity and capital market availability. As a result, we are not locked into large future capital expenditures. We have historically acquired aircraft through finance leases and debt. Our management team retains broad discretion to allocate liquidity.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conditions, pandemics, weather-related disruptions, the impact of airline bankruptcies, restructurings or consolidations, U.S. military actions, regulations, or acts of terrorism.</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June 30, 2024, our fleet consisted of 63 Boeing 737-NG aircraft. This includes 44 aircraft in the passenger fleet, 12 cargo</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aircraft through the ATSA, and seven aircraft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our fleet,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I of this report.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reserves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in advance for scheduled maintenance to act as collateral for the benefit of lessors. Qualifying payments that are expected to be recovered from lessors are recorded as Lessor Maintenance Deposits on our Condensed Consolidated Balance Sheets. As of June 30, 2024, we had $53,414 of total Lessor Maintenance Deposits.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We invest our cash and cash equivalents in highly liquid securities with strong credit ratings. As of June 30, 2024,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held $101,902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hold $6,399 of Certificates of Deposit that are included in Investments on the Condensed Consolidated Balance Sheets as of June 30, 2024.</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support for general corporate purposes and to finance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aircraft.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2024, the Company had $24,393 of the $25,000 Revolving Credit Facility available due to $607 being pledged to support letters of credit, and no balance drawn. The Credit Agreement includes financial covenants that require a minimum trailing 12-month EBITDAR of $ 87,700 and minimum liquidity, as defined within the Credit Agreement, of $30,000 at the close of any business day. The Company was in compliance with these covenants as of June 30, 2024.</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through the issuance of pass-through trust certificates to purchase, or refinance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2019, we issued the 2019-1 EETC, for the purpose of financing or refinancing 13 aircraft. In March 2022, the Company issued the 2022-1 EETC for the purpose of financing or refinancing 13 aircraft.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June 30, 2023, we executed a term loan credit facility with a face amount of $119,200 for the purpose of financing the five Owned Aircraft Held for Operating Lease. The lease term for each aircraft expire at various dates between the fourth quarter of 2024 and the fourth quarter of 2025. On each lease expiry date, a LTV ratio calculation is completed.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 amount can be reasonably estimated, the estimated principal prepayment amount will be reclassified from Long-term Debt, net to Current Maturities of Long-term Debt, net on the Company's Condensed Consolidated Balance Sheets. In the event a principal prepayment is required, amounts received under the end of lease maintenance compensation clause will be applied towards any prepayment obligation. No amounts related to an estimated principal prepayment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have been reclassified from Long-term Debt, net to Current Maturities of Long-term Debt, net on the Company's Condensed Consolidated Balance Sheets as of June 30, 2024.</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six months ended June 30, 2024 and 2023, we made a payment of $3,350 and $2,425 to the TRA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respectively. Payments will be made in future periods as Pre-IPO Tax Attributes are utilized. For more information on the TRA liability, see </w:t>
      </w:r>
      <w:r>
        <w:rPr>
          <w:rFonts w:ascii="Arial" w:cs="Arial" w:eastAsia="Arial" w:hAnsi="Arial"/>
          <w:sz w:val="18"/>
          <w:szCs w:val="18"/>
          <w:u w:val="single" w:color="auto"/>
          <w:color w:val="0000FF"/>
        </w:rPr>
        <w:t>Note 8</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I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2024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2023</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r>
      <w:tr>
        <w:trPr>
          <w:trHeight w:val="247"/>
        </w:trPr>
        <w:tc>
          <w:tcPr>
            <w:tcW w:w="4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101,902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134,240</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r>
      <w:tr>
        <w:trPr>
          <w:trHeight w:val="264"/>
        </w:trPr>
        <w:tc>
          <w:tcPr>
            <w:tcW w:w="470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25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153,159</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205,169</w:t>
            </w:r>
          </w:p>
        </w:tc>
      </w:tr>
      <w:tr>
        <w:trPr>
          <w:trHeight w:val="46"/>
        </w:trPr>
        <w:tc>
          <w:tcPr>
            <w:tcW w:w="470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23"/>
        </w:trPr>
        <w:tc>
          <w:tcPr>
            <w:tcW w:w="4700" w:type="dxa"/>
            <w:vAlign w:val="bottom"/>
            <w:tcBorders>
              <w:top w:val="single" w:sz="8" w:color="CCEEFF"/>
              <w:bottom w:val="single" w:sz="8" w:color="CCEEFF"/>
            </w:tcBorders>
          </w:tcPr>
          <w:p>
            <w:pPr>
              <w:spacing w:after="0"/>
              <w:rPr>
                <w:sz w:val="19"/>
                <w:szCs w:val="19"/>
                <w:color w:val="auto"/>
              </w:rPr>
            </w:pPr>
          </w:p>
        </w:tc>
        <w:tc>
          <w:tcPr>
            <w:tcW w:w="250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CCEEFF"/>
              <w:bottom w:val="single" w:sz="8" w:color="auto"/>
            </w:tcBorders>
          </w:tcPr>
          <w:p>
            <w:pPr>
              <w:spacing w:after="0"/>
              <w:rPr>
                <w:sz w:val="19"/>
                <w:szCs w:val="19"/>
                <w:color w:val="auto"/>
              </w:rPr>
            </w:pPr>
          </w:p>
        </w:tc>
        <w:tc>
          <w:tcPr>
            <w:tcW w:w="1660" w:type="dxa"/>
            <w:vAlign w:val="bottom"/>
            <w:tcBorders>
              <w:top w:val="single" w:sz="8" w:color="CCEEFF"/>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2024</w:t>
            </w: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740" w:type="dxa"/>
            <w:vAlign w:val="bottom"/>
            <w:tcBorders>
              <w:top w:val="single" w:sz="8" w:color="CCEEFF"/>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2023</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2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365,500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401,645</w:t>
            </w:r>
          </w:p>
        </w:tc>
      </w:tr>
      <w:tr>
        <w:trPr>
          <w:trHeight w:val="247"/>
        </w:trPr>
        <w:tc>
          <w:tcPr>
            <w:tcW w:w="47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297,329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277,302</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18,830</w:t>
            </w:r>
          </w:p>
        </w:tc>
      </w:tr>
      <w:tr>
        <w:trPr>
          <w:trHeight w:val="240"/>
        </w:trPr>
        <w:tc>
          <w:tcPr>
            <w:tcW w:w="470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2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680,599</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697,777</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546,851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514,403</w:t>
            </w:r>
          </w:p>
        </w:tc>
      </w:tr>
      <w:tr>
        <w:trPr>
          <w:trHeight w:val="264"/>
        </w:trPr>
        <w:tc>
          <w:tcPr>
            <w:tcW w:w="470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25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1,227,450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1,212,180</w:t>
            </w:r>
          </w:p>
        </w:tc>
      </w:tr>
      <w:tr>
        <w:trPr>
          <w:trHeight w:val="46"/>
        </w:trPr>
        <w:tc>
          <w:tcPr>
            <w:tcW w:w="470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7"/>
        </w:trPr>
        <w:tc>
          <w:tcPr>
            <w:tcW w:w="4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25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0.55</w:t>
            </w: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0.58</w:t>
            </w:r>
          </w:p>
        </w:tc>
      </w:tr>
      <w:tr>
        <w:trPr>
          <w:trHeight w:val="931"/>
        </w:trPr>
        <w:tc>
          <w:tcPr>
            <w:tcW w:w="4700" w:type="dxa"/>
            <w:vAlign w:val="bottom"/>
          </w:tcPr>
          <w:p>
            <w:pPr>
              <w:spacing w:after="0"/>
              <w:rPr>
                <w:sz w:val="24"/>
                <w:szCs w:val="24"/>
                <w:color w:val="auto"/>
              </w:rPr>
            </w:pPr>
          </w:p>
        </w:tc>
        <w:tc>
          <w:tcPr>
            <w:tcW w:w="2500" w:type="dxa"/>
            <w:vAlign w:val="bottom"/>
          </w:tcPr>
          <w:p>
            <w:pPr>
              <w:jc w:val="right"/>
              <w:ind w:right="133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1"/>
        </w:trPr>
        <w:tc>
          <w:tcPr>
            <w:tcW w:w="47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7"/>
                <w:szCs w:val="17"/>
                <w:color w:val="auto"/>
              </w:rPr>
            </w:pPr>
          </w:p>
        </w:tc>
        <w:tc>
          <w:tcPr>
            <w:tcW w:w="116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r>
      <w:tr>
        <w:trPr>
          <w:trHeight w:val="202"/>
        </w:trPr>
        <w:tc>
          <w:tcPr>
            <w:tcW w:w="48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jc w:val="right"/>
              <w:ind w:right="432"/>
              <w:spacing w:after="0"/>
              <w:rPr>
                <w:sz w:val="20"/>
                <w:szCs w:val="20"/>
                <w:color w:val="auto"/>
              </w:rPr>
            </w:pPr>
            <w:r>
              <w:rPr>
                <w:rFonts w:ascii="Arial" w:cs="Arial" w:eastAsia="Arial" w:hAnsi="Arial"/>
                <w:sz w:val="14"/>
                <w:szCs w:val="14"/>
                <w:b w:val="1"/>
                <w:bCs w:val="1"/>
                <w:color w:val="auto"/>
              </w:rPr>
              <w:t>Change</w:t>
            </w:r>
          </w:p>
        </w:tc>
      </w:tr>
      <w:tr>
        <w:trPr>
          <w:trHeight w:val="264"/>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74"/>
        </w:trPr>
        <w:tc>
          <w:tcPr>
            <w:tcW w:w="48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Borders>
              <w:top w:val="single" w:sz="8" w:color="auto"/>
            </w:tcBorders>
          </w:tcPr>
          <w:p>
            <w:pPr>
              <w:spacing w:after="0"/>
              <w:rPr>
                <w:sz w:val="6"/>
                <w:szCs w:val="6"/>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154,121</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(7,295)</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354 %</w:t>
            </w:r>
          </w:p>
        </w:tc>
      </w:tr>
      <w:tr>
        <w:trPr>
          <w:trHeight w:val="241"/>
        </w:trPr>
        <w:tc>
          <w:tcPr>
            <w:tcW w:w="480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171,563</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3"/>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75"/>
        </w:trPr>
        <w:tc>
          <w:tcPr>
            <w:tcW w:w="48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r>
      <w:tr>
        <w:trPr>
          <w:trHeight w:val="247"/>
        </w:trPr>
        <w:tc>
          <w:tcPr>
            <w:tcW w:w="4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Proceeds from Borrowings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(109,200)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47"/>
        </w:trPr>
        <w:tc>
          <w:tcPr>
            <w:tcW w:w="4800" w:type="dxa"/>
            <w:vAlign w:val="bottom"/>
          </w:tcPr>
          <w:p>
            <w:pPr>
              <w:ind w:left="360"/>
              <w:spacing w:after="0"/>
              <w:rPr>
                <w:sz w:val="20"/>
                <w:szCs w:val="20"/>
                <w:color w:val="auto"/>
              </w:rPr>
            </w:pPr>
            <w:r>
              <w:rPr>
                <w:rFonts w:ascii="Arial" w:cs="Arial" w:eastAsia="Arial" w:hAnsi="Arial"/>
                <w:sz w:val="18"/>
                <w:szCs w:val="18"/>
                <w:color w:val="auto"/>
              </w:rPr>
              <w:t>Repayment of Borrowings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(24,959)</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0"/>
        </w:trPr>
        <w:tc>
          <w:tcPr>
            <w:tcW w:w="480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(135,668)</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3"/>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(20,926)</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consists of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six months ended June 30, 2024 provided $38,872, as compared to $95,693 during the six months ended June 30, 2023. During the six months ended June 30, 2024, our Net Income was $37,125, as compared to $58,946 during the six months ended June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Most tickets can be purchased no more than twelve months in advance, therefore any revenue associated with tickets sold for future travel will be recognized within that timeframe. For the six months ended June 30, 2024, $147,256 of revenue recognized in Passenger revenue was included in the $157,996 of Air Traffic Liabilities as of December 31, 2023.</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27% of our total operating expense for the six months ended June 30, 2024</w:t>
      </w:r>
      <w:r>
        <w:rPr>
          <w:rFonts w:ascii="Arial" w:cs="Arial" w:eastAsia="Arial" w:hAnsi="Arial"/>
          <w:sz w:val="18"/>
          <w:szCs w:val="18"/>
          <w:i w:val="1"/>
          <w:iCs w:val="1"/>
          <w:color w:val="auto"/>
        </w:rPr>
        <w:t xml:space="preserve"> </w:t>
      </w:r>
      <w:r>
        <w:rPr>
          <w:rFonts w:ascii="Arial" w:cs="Arial" w:eastAsia="Arial" w:hAnsi="Arial"/>
          <w:sz w:val="18"/>
          <w:szCs w:val="18"/>
          <w:color w:val="auto"/>
        </w:rPr>
        <w:t>and 2023, respectively. The market price for jet fuel is volatile, which can impact the comparability of our periodic cash flows from operations. Fuel cost per gallon decreased by 5% year-over-year. Fuel consumption increased by 13% during the six months ended June 30, 2024, compared to the prior year as a result of the increase in fleet size and total operations. We expect volatility in Aircraft Fuel prices per gallon throughout 2024 due to market conditions and global geopolitical events.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$ 38,231 and $192,352 for the six months ended June 30, 2024 and 2023,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during the six months ended June 30, 2024 included the acquisition of one aircraft and other items not individually material. Our capital expenditures during the six months ended June 30, 2023, primarily included the purchase of five Owned Aircraft Held for Operating Lease and one incremental aircraft for our passenger fleet.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The Company's net investment activity resulted in cash inflows of $32,890 and $22,358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2024 and 2023, respectively, due to maturing debt securities exceeding purchases of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During the six months ended June 30, 2023, the Company executed a term loan credit facility with a face amount of $119,200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of financing the five Owned Aircraft Held for Operating Lease. The term loan credit facility is repaid monthly through March 2030. During the lease term, payments collected from the lessee are applied directly to the repayment of principal and interest on the term loan credit facility.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required to make bi-annual principal and interest payments on the 2022-1 EETC each March and September, through March 2031. The Company is required to make bi-annual principal and interest payments on the 2019-1 EETC each June and December, through December 2027.</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$20,870 and $8,671 for the six months ended June 30, 2024 and 2023,</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the six months ended June 30, 2024, the Company purchased an aircraft previously classified as finance lease. The resulting cash outflows are recorded as payments for finance lease obligations. As of June 30, 2024 and 2023, the Company had 15 and 12 aircraft finance leases, respectively.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six months ended June 30, 2024, the Company repurchased 755,284 shares of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 a total cost of $11,493, or $15.22 per share. During the six months ended June 30, 2023, the Company repurchased 1,166,751 shares of its Common Stock at a total cost of $22,249, or $19.07 per share. For more information on the stock repurchase program and this purchase,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I of this report.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six months ended June 30, 2024 and 2023, the Company made payments of $3,350 and $2,425 to the TRA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For more information on the payment of the TRA,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on the nature of the Company's Off Balance Sheet Arrangements, see “Management’s Discussion and Analysis of Operations” in Part II, </w:t>
      </w:r>
      <w:hyperlink r:id="rId55">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2023 10-K. There have been no material changes to the Company's Off Balance Sheet Arrangements as compared to the 2023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our Condensed Consolidated Financial Statements included elsewhere in this Quarterly Report on Form 10-Q for more information regarding commitments and contractual obligations.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six months ended June 30, 2024, there were no recently adopted accounting standards that had a material impact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Operations” sections within Part II, </w:t>
      </w:r>
      <w:hyperlink r:id="rId55">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2023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the 2023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For example, based on our forecasted Aircraft Fuel expense for the third quarter of 2024, we estimate that a one cent per gallon increase in the average aircraft fuel price would increase Aircraft Fuel expense by approximately $205. Aircraft Fuel expense does not include amounts where we are considered the customer's agent for procuring fuel. We had no fuel option and swap contracts in place to hedge the economic risk associated with volatile fuel prices as of June 30, 2024. We currently do not expect to enter into these types of contracts prospectively, although significant changes in market conditions could affect our decisions.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A change in market interest rates would impact interest expense under the $ 119,200 term loan credit facility used to finance the Owned Aircraft Held for Operating Lease. A 100 basis point increase in interest rates on the June 30, 2024 balance of the term loan would result in a corresponding increase in interest expense of approximately $1,010 annually. As of the date of this filing, the entire term loan credit facility had been drawn. The Company also maintains a $25,000 Revolving Credit Facility with a variable interest rate that is impacted by market conditions. As of June 30, 2024, the Company had $24,393 of financing available through the Revolving Credit Facility, as $607 had been pledged to support letters of credit. As of June 30, 2024, no amounts on the Revolving Credit Facility were outstanding.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$101,902 as of June 30, 2024.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preparation of this Form 10-Q, pursuant to Rule 13a-15(b) of the Exchange Act, our management, with the participation of our Chief Executive Officer and Chief Financial Officer, has evaluated the effectiveness of the design and operation of our disclosure controls and procedures (as defined in Rules 13a-15(e) and 15d-15(e) under the Exchange Act) as of June 30, 2024.</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evaluation of our disclosure controls and procedures as of June 30, 2024, our Chief Executive Officer and Chief Financial Officer have concluded that our disclosure controls and procedures were effective as of June 30,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under the Exchange Act) that occurred during the quarter ended June 30, 2024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55">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2023 10-K the risk factors which materially affect our business, financial condition or results of operations. There have been no material changes from the risk factors previously disclosed. You should carefully consider the risk factors set forth in our 2023 10-K.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directors and executive officers may purchase or sell shares of our common stock in the market from time to time, including pursuant to equity trading plans adopted in accordance with Rule 10b5-1 under the Exchange Act ("Rule 10b5 -1")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 During the three months ended June 30, 2024, our directors and executive officers did not adopt, terminate, or modify any instructions or written plans for the sale or purchase of our securities that would be intended to satisfy the affirmative defense conditions of Rule 10b5-1(c).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gridSpan w:val="11"/>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Amended and Restated Air Transportation Services Agreement, dated as of June 18, 2024, by and between Sun Country, Inc.</w:t>
              </w:r>
            </w:hyperlink>
          </w:p>
        </w:tc>
      </w:tr>
      <w:tr>
        <w:trPr>
          <w:trHeight w:val="156"/>
        </w:trPr>
        <w:tc>
          <w:tcPr>
            <w:tcW w:w="1140" w:type="dxa"/>
            <w:vAlign w:val="bottom"/>
          </w:tcPr>
          <w:p>
            <w:pPr>
              <w:spacing w:after="0"/>
              <w:rPr>
                <w:sz w:val="13"/>
                <w:szCs w:val="13"/>
                <w:color w:val="auto"/>
              </w:rPr>
            </w:pPr>
          </w:p>
        </w:tc>
        <w:tc>
          <w:tcPr>
            <w:tcW w:w="100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and Amazon.com Services LLC (incorporated by reference to Exhibit 10.1 to Sun Country Airlines Holdings, Inc.'s Form 8-K</w:t>
              </w:r>
            </w:hyperlink>
          </w:p>
        </w:tc>
        <w:tc>
          <w:tcPr>
            <w:tcW w:w="2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984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filed with the Securities and Exchange Commission on June 20, 2024)</w:t>
              </w:r>
            </w:hyperlink>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11"/>
          </w:tcPr>
          <w:p>
            <w:pPr>
              <w:spacing w:after="0"/>
              <w:rPr>
                <w:sz w:val="20"/>
                <w:szCs w:val="20"/>
                <w:color w:val="auto"/>
              </w:rPr>
            </w:pPr>
            <w:r>
              <w:rPr>
                <w:rFonts w:ascii="Arial" w:cs="Arial" w:eastAsia="Arial" w:hAnsi="Arial"/>
                <w:sz w:val="18"/>
                <w:szCs w:val="18"/>
                <w:color w:val="0000FF"/>
              </w:rPr>
              <w:t>Certification by Sun Country's Chief Executive Officer with respect to Sun Country's Quarterly Report on Form 10-Q for the</w:t>
            </w:r>
          </w:p>
        </w:tc>
      </w:tr>
      <w:tr>
        <w:trPr>
          <w:trHeight w:val="156"/>
        </w:trPr>
        <w:tc>
          <w:tcPr>
            <w:tcW w:w="1140" w:type="dxa"/>
            <w:vAlign w:val="bottom"/>
          </w:tcPr>
          <w:p>
            <w:pPr>
              <w:spacing w:after="0"/>
              <w:rPr>
                <w:sz w:val="13"/>
                <w:szCs w:val="13"/>
                <w:color w:val="auto"/>
              </w:rPr>
            </w:pPr>
          </w:p>
        </w:tc>
        <w:tc>
          <w:tcPr>
            <w:tcW w:w="30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quarterly period ended June 30, 2024</w:t>
            </w:r>
          </w:p>
        </w:tc>
        <w:tc>
          <w:tcPr>
            <w:tcW w:w="674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11"/>
          </w:tcPr>
          <w:p>
            <w:pPr>
              <w:spacing w:after="0"/>
              <w:rPr>
                <w:sz w:val="20"/>
                <w:szCs w:val="20"/>
                <w:color w:val="auto"/>
              </w:rPr>
            </w:pPr>
            <w:r>
              <w:rPr>
                <w:rFonts w:ascii="Arial" w:cs="Arial" w:eastAsia="Arial" w:hAnsi="Arial"/>
                <w:sz w:val="18"/>
                <w:szCs w:val="18"/>
                <w:color w:val="0000FF"/>
              </w:rPr>
              <w:t>Certification by Sun Country’s President and Chief Financial Officer with respect to Sun Country's Quarterly Report on Form</w:t>
            </w:r>
          </w:p>
        </w:tc>
      </w:tr>
      <w:tr>
        <w:trPr>
          <w:trHeight w:val="156"/>
        </w:trPr>
        <w:tc>
          <w:tcPr>
            <w:tcW w:w="114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10-Q for the quarterly period ended June 30, 2024</w:t>
            </w:r>
          </w:p>
        </w:tc>
        <w:tc>
          <w:tcPr>
            <w:tcW w:w="18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040" w:type="dxa"/>
            <w:vAlign w:val="bottom"/>
            <w:gridSpan w:val="11"/>
          </w:tcPr>
          <w:p>
            <w:pPr>
              <w:spacing w:after="0"/>
              <w:rPr>
                <w:sz w:val="20"/>
                <w:szCs w:val="20"/>
                <w:color w:val="auto"/>
              </w:rPr>
            </w:pPr>
            <w:r>
              <w:rPr>
                <w:rFonts w:ascii="Arial" w:cs="Arial" w:eastAsia="Arial" w:hAnsi="Arial"/>
                <w:sz w:val="18"/>
                <w:szCs w:val="18"/>
                <w:color w:val="0000FF"/>
              </w:rPr>
              <w:t>Certification pursuant to Section 1350 of Chapter 63 of Title 18 of the United States Code by Sun Country Airlines Holdings,</w:t>
            </w:r>
          </w:p>
        </w:tc>
      </w:tr>
      <w:tr>
        <w:trPr>
          <w:trHeight w:val="156"/>
        </w:trPr>
        <w:tc>
          <w:tcPr>
            <w:tcW w:w="1140" w:type="dxa"/>
            <w:vAlign w:val="bottom"/>
          </w:tcPr>
          <w:p>
            <w:pPr>
              <w:spacing w:after="0"/>
              <w:rPr>
                <w:sz w:val="13"/>
                <w:szCs w:val="13"/>
                <w:color w:val="auto"/>
              </w:rPr>
            </w:pPr>
          </w:p>
        </w:tc>
        <w:tc>
          <w:tcPr>
            <w:tcW w:w="98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Inc.’s Chief Executive Officer and President and Chief Financial Officer with respect to Sun Country's Quarterly Report on</w:t>
            </w:r>
          </w:p>
        </w:tc>
        <w:tc>
          <w:tcPr>
            <w:tcW w:w="220" w:type="dxa"/>
            <w:vAlign w:val="bottom"/>
            <w:gridSpan w:val="4"/>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Form 10-Q for the quarterly period ended June 30, 2024</w:t>
            </w:r>
          </w:p>
        </w:tc>
        <w:tc>
          <w:tcPr>
            <w:tcW w:w="5160" w:type="dxa"/>
            <w:vAlign w:val="bottom"/>
            <w:tcBorders>
              <w:top w:val="single" w:sz="8" w:color="0000FF"/>
            </w:tcBorders>
            <w:gridSpan w:val="2"/>
          </w:tcPr>
          <w:p>
            <w:pPr>
              <w:spacing w:after="0"/>
              <w:rPr>
                <w:sz w:val="14"/>
                <w:szCs w:val="14"/>
                <w:color w:val="auto"/>
              </w:rPr>
            </w:pPr>
          </w:p>
        </w:tc>
        <w:tc>
          <w:tcPr>
            <w:tcW w:w="400" w:type="dxa"/>
            <w:vAlign w:val="bottom"/>
            <w:gridSpan w:val="6"/>
          </w:tcPr>
          <w:p>
            <w:pPr>
              <w:spacing w:after="0"/>
              <w:rPr>
                <w:sz w:val="14"/>
                <w:szCs w:val="14"/>
                <w:color w:val="auto"/>
              </w:rPr>
            </w:pPr>
          </w:p>
        </w:tc>
      </w:tr>
      <w:tr>
        <w:trPr>
          <w:trHeight w:val="46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10040" w:type="dxa"/>
            <w:vAlign w:val="bottom"/>
            <w:gridSpan w:val="11"/>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50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11"/>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440" w:hanging="414"/>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40" w:hanging="414"/>
        <w:spacing w:after="0"/>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Portions of this exhibit have been omitted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ind w:left="5640"/>
        <w:spacing w:after="0"/>
        <w:rPr>
          <w:sz w:val="20"/>
          <w:szCs w:val="20"/>
          <w:color w:val="auto"/>
        </w:rPr>
      </w:pPr>
      <w:r>
        <w:rPr>
          <w:rFonts w:ascii="Arial" w:cs="Arial" w:eastAsia="Arial" w:hAnsi="Arial"/>
          <w:sz w:val="18"/>
          <w:szCs w:val="18"/>
          <w:color w:val="auto"/>
        </w:rPr>
        <w:t>(Registrant)</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2, 2024</w:t>
      </w:r>
    </w:p>
    <w:p>
      <w:pPr>
        <w:sectPr>
          <w:pgSz w:w="11900" w:h="16838" w:orient="portrait"/>
          <w:cols w:equalWidth="0" w:num="1">
            <w:col w:w="11220"/>
          </w:cols>
          <w:pgMar w:left="320" w:top="337"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Jude Bricker, certify that:</w:t>
      </w:r>
    </w:p>
    <w:p>
      <w:pPr>
        <w:spacing w:after="0" w:line="225" w:lineRule="exact"/>
        <w:rPr>
          <w:sz w:val="20"/>
          <w:szCs w:val="20"/>
          <w:color w:val="auto"/>
        </w:rPr>
      </w:pPr>
    </w:p>
    <w:p>
      <w:pPr>
        <w:ind w:left="660" w:right="5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six month period ended June 30, 2024;</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2024</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Davis, certify that:</w:t>
      </w:r>
    </w:p>
    <w:p>
      <w:pPr>
        <w:spacing w:after="0" w:line="225" w:lineRule="exact"/>
        <w:rPr>
          <w:sz w:val="20"/>
          <w:szCs w:val="20"/>
          <w:color w:val="auto"/>
        </w:rPr>
      </w:pPr>
    </w:p>
    <w:p>
      <w:pPr>
        <w:ind w:left="660" w:right="5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six month period ended June 30, 2024;</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 2024</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Dave Davis</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ectPr>
          <w:pgSz w:w="11900" w:h="16838" w:orient="portrait"/>
          <w:cols w:equalWidth="0" w:num="1">
            <w:col w:w="11240"/>
          </w:cols>
          <w:pgMar w:left="320" w:top="114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2024</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June 30, 2024 (the "Report").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President and Chief Financial Officer, respectively, of Sun Country, hereby certifies that, as of the end of the period covered by the Report:</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Sun Country.</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Dave Davis</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lvl w:ilvl="1">
      <w:lvlJc w:val="left"/>
      <w:lvlText w:val="(%2)"/>
      <w:numFmt w:val="decimal"/>
      <w:start w:val="1"/>
    </w:lvl>
  </w:abstractNum>
  <w:abstractNum w:abstractNumId="8">
    <w:nsid w:val="519B500D"/>
    <w:multiLevelType w:val="hybridMultilevel"/>
    <w:lvl w:ilvl="0">
      <w:lvlJc w:val="left"/>
      <w:lvlText w:val="%1."/>
      <w:numFmt w:val="decimal"/>
      <w:start w:val="5"/>
    </w:lvl>
    <w:lvl w:ilvl="1">
      <w:lvlJc w:val="left"/>
      <w:lvlText w:val="%2"/>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39" Type="http://schemas.openxmlformats.org/officeDocument/2006/relationships/hyperlink" Target="https://www.sec.gov/Archives/edgar/data/1743907/000174390724000005/sncy-20231231.htm#i42a5ae0bd2d24023a66a62469f4c25b4_46" TargetMode="External"/><Relationship Id="rId55" Type="http://schemas.openxmlformats.org/officeDocument/2006/relationships/hyperlink" Target="https://www.sec.gov/ix?doc=/Archives/edgar/data/1743907/000174390724000005/sncy-20231231.htm" TargetMode="External"/><Relationship Id="rId107" Type="http://schemas.openxmlformats.org/officeDocument/2006/relationships/hyperlink" Target="https://www.sec.gov/ix?doc=/Archives/edgar/data/1743907/000119312524164060/d83222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2024-08-02T09:45:57Z</dcterms:created>
  <dcterms:modified xsi:type="dcterms:W3CDTF">2024-08-02T09:45:57Z</dcterms:modified>
</cp:coreProperties>
</file>