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002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0265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103"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 DAVID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0"/>
        <w:spacing w:after="0" w:line="343"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SNCY</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2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840" w:type="dxa"/>
            <w:vAlign w:val="bottom"/>
          </w:tcPr>
          <w:p>
            <w:pPr>
              <w:ind w:left="580"/>
              <w:spacing w:after="0" w:line="14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tcPr>
          <w:p>
            <w:pPr>
              <w:ind w:left="1060"/>
              <w:spacing w:after="0" w:line="194" w:lineRule="exact"/>
              <w:rPr>
                <w:sz w:val="20"/>
                <w:szCs w:val="20"/>
                <w:color w:val="auto"/>
              </w:rPr>
            </w:pPr>
            <w:r>
              <w:rPr>
                <w:rFonts w:ascii="Times New Roman" w:cs="Times New Roman" w:eastAsia="Times New Roman" w:hAnsi="Times New Roman"/>
                <w:sz w:val="17"/>
                <w:szCs w:val="17"/>
                <w:color w:val="0000FF"/>
              </w:rPr>
              <w:t>President &amp; CFO</w:t>
            </w:r>
          </w:p>
        </w:tc>
        <w:tc>
          <w:tcPr>
            <w:tcW w:w="0" w:type="dxa"/>
            <w:vAlign w:val="bottom"/>
          </w:tcPr>
          <w:p>
            <w:pPr>
              <w:spacing w:after="0"/>
              <w:rPr>
                <w:sz w:val="1"/>
                <w:szCs w:val="1"/>
                <w:color w:val="auto"/>
              </w:rPr>
            </w:pPr>
          </w:p>
        </w:tc>
      </w:tr>
      <w:tr>
        <w:trPr>
          <w:trHeight w:val="217"/>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01/27/2025</w:t>
            </w: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80"/>
            <w:col w:w="7240"/>
          </w:cols>
          <w:pgMar w:left="460" w:top="217" w:right="359" w:bottom="110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01/27/2025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54,198</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5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86,458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01/27/2025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5,191</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5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91,649</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01/27/2025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59,389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17.0465</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32,260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60" w:type="dxa"/>
            <w:vAlign w:val="bottom"/>
            <w:gridSpan w:val="8"/>
          </w:tcPr>
          <w:p>
            <w:pPr>
              <w:jc w:val="center"/>
              <w:ind w:left="2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rPr>
              <w:t>54,198</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color w:val="0000FF"/>
              </w:rPr>
              <w:t>01/27/2025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54,198</w:t>
            </w:r>
          </w:p>
        </w:tc>
        <w:tc>
          <w:tcPr>
            <w:tcW w:w="800" w:type="dxa"/>
            <w:vAlign w:val="bottom"/>
            <w:vMerge w:val="continue"/>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04/17/2029</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355,910</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5,191</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01/27/2025</w:t>
            </w: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5"/>
                <w:szCs w:val="5"/>
                <w:color w:val="auto"/>
              </w:rPr>
            </w:pPr>
          </w:p>
        </w:tc>
        <w:tc>
          <w:tcPr>
            <w:tcW w:w="7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5,191</w:t>
            </w:r>
          </w:p>
        </w:tc>
        <w:tc>
          <w:tcPr>
            <w:tcW w:w="800" w:type="dxa"/>
            <w:vAlign w:val="bottom"/>
            <w:vMerge w:val="continue"/>
          </w:tcPr>
          <w:p>
            <w:pPr>
              <w:spacing w:after="0"/>
              <w:rPr>
                <w:sz w:val="5"/>
                <w:szCs w:val="5"/>
                <w:color w:val="auto"/>
              </w:rPr>
            </w:pPr>
          </w:p>
        </w:tc>
        <w:tc>
          <w:tcPr>
            <w:tcW w:w="76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04/17/2029</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350,719</w:t>
            </w:r>
          </w:p>
        </w:tc>
        <w:tc>
          <w:tcPr>
            <w:tcW w:w="26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The 10b5-1 trading plan was adopted on September 4, 2024.</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$16.90 to $17.37,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Rose Neale, attorney-in-fact  </w:t>
      </w:r>
      <w:r>
        <w:rPr>
          <w:rFonts w:ascii="Times New Roman" w:cs="Times New Roman" w:eastAsia="Times New Roman" w:hAnsi="Times New Roman"/>
          <w:sz w:val="33"/>
          <w:szCs w:val="33"/>
          <w:color w:val="0000FF"/>
          <w:vertAlign w:val="subscript"/>
        </w:rPr>
        <w:t>01/29/2025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9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David M.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833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3375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1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7174"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2025-01-29T16:52:22Z</dcterms:created>
  <dcterms:modified xsi:type="dcterms:W3CDTF">2025-01-29T16:52:22Z</dcterms:modified>
</cp:coreProperties>
</file>