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1187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11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Kennedy Thomas C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 w:line="2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SUN COUNTRY AIRLINES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Sun Country Airlines Holdings,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SNCY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4"/>
        <w:spacing w:after="0"/>
        <w:tabs>
          <w:tab w:leader="none" w:pos="514" w:val="left"/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00" w:space="500"/>
            <w:col w:w="3640" w:space="186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2005 CARGO ROAD</w:t>
      </w:r>
    </w:p>
    <w:p>
      <w:pPr>
        <w:spacing w:after="0" w:line="2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6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04/27/2022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2,955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20" w:type="dxa"/>
            <w:vAlign w:val="bottom"/>
            <w:gridSpan w:val="10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2,955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04/27/2022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</w:tcPr>
          <w:p>
            <w:pPr>
              <w:ind w:left="4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2,955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Share Unit represents a right to receive one share of Sun Country Airlines Holdings, Inc. common stock, par value $0.01 per share.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April 27, 2021, the reporting person was granted 2,955 restricted share units, which vested on April 27, 2022.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Eric Levenhagen,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10013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1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Thomas C.  06/13/2022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Kennedy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3873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93661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2022-06-13T15:58:28Z</dcterms:created>
  <dcterms:modified xsi:type="dcterms:W3CDTF">2022-06-13T15:58:28Z</dcterms:modified>
</cp:coreProperties>
</file>