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Whitney Grant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04/03/2023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Revenue Officer &amp; EVP</w:t>
      </w:r>
    </w:p>
    <w:p>
      <w:pPr>
        <w:spacing w:after="0" w:line="417"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16,410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282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16,128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Since October 3, 2022, the number of shares of common stock owned by the reporting person has been underreported by one share. This error has been corrected in this Form 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4"/>
          <w:szCs w:val="34"/>
          <w:color w:val="0000FF"/>
          <w:vertAlign w:val="subscript"/>
        </w:rPr>
        <w:t>04/05/2023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Grant 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4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4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2023-04-05T15:31:14Z</dcterms:created>
  <dcterms:modified xsi:type="dcterms:W3CDTF">2023-04-05T15:31:14Z</dcterms:modified>
</cp:coreProperties>
</file>