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FORM 10-Q</w:t>
      </w:r>
    </w:p>
    <w:tbl>
      <w:tblPr>
        <w:tblW w:w="9657" w:type="dxa"/>
        <w:jc w:val="left"/>
        <w:tblInd w:w="0" w:type="dxa"/>
        <w:tblCellMar>
          <w:top w:w="28" w:type="dxa"/>
          <w:left w:w="28" w:type="dxa"/>
          <w:bottom w:w="28" w:type="dxa"/>
          <w:right w:w="28" w:type="dxa"/>
        </w:tblCellMar>
      </w:tblPr>
      <w:tblGrid>
        <w:gridCol w:w="124"/>
        <w:gridCol w:w="109"/>
        <w:gridCol w:w="109"/>
        <w:gridCol w:w="2726"/>
        <w:gridCol w:w="2726"/>
        <w:gridCol w:w="38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38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3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bl>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March 31, 2023</w:t>
      </w:r>
    </w:p>
    <w:p>
      <w:pPr>
        <w:pStyle w:val="TextBody"/>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Or</w:t>
      </w:r>
    </w:p>
    <w:tbl>
      <w:tblPr>
        <w:tblW w:w="9626" w:type="dxa"/>
        <w:jc w:val="left"/>
        <w:tblInd w:w="0" w:type="dxa"/>
        <w:tblCellMar>
          <w:top w:w="28" w:type="dxa"/>
          <w:left w:w="28" w:type="dxa"/>
          <w:bottom w:w="28" w:type="dxa"/>
          <w:right w:w="28" w:type="dxa"/>
        </w:tblCellMar>
      </w:tblPr>
      <w:tblGrid>
        <w:gridCol w:w="124"/>
        <w:gridCol w:w="109"/>
        <w:gridCol w:w="109"/>
        <w:gridCol w:w="2715"/>
        <w:gridCol w:w="2715"/>
        <w:gridCol w:w="38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5" w:type="dxa"/>
            <w:tcBorders/>
            <w:shd w:fill="auto" w:val="clear"/>
            <w:vAlign w:val="center"/>
          </w:tcPr>
          <w:p>
            <w:pPr>
              <w:pStyle w:val="TableContents"/>
              <w:spacing w:before="0" w:after="283"/>
              <w:rPr>
                <w:sz w:val="4"/>
                <w:szCs w:val="4"/>
              </w:rPr>
            </w:pPr>
            <w:r>
              <w:rPr>
                <w:sz w:val="4"/>
                <w:szCs w:val="4"/>
              </w:rPr>
            </w:r>
          </w:p>
        </w:tc>
        <w:tc>
          <w:tcPr>
            <w:tcW w:w="2715" w:type="dxa"/>
            <w:tcBorders/>
            <w:shd w:fill="auto" w:val="clear"/>
            <w:vAlign w:val="center"/>
          </w:tcPr>
          <w:p>
            <w:pPr>
              <w:pStyle w:val="TableContents"/>
              <w:spacing w:before="0" w:after="283"/>
              <w:rPr>
                <w:sz w:val="4"/>
                <w:szCs w:val="4"/>
              </w:rPr>
            </w:pPr>
            <w:r>
              <w:rPr>
                <w:sz w:val="4"/>
                <w:szCs w:val="4"/>
              </w:rPr>
            </w:r>
          </w:p>
        </w:tc>
        <w:tc>
          <w:tcPr>
            <w:tcW w:w="38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28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bl>
    <w:p>
      <w:pPr>
        <w:pStyle w:val="TextBody"/>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Commission File Number 001-40217</w:t>
      </w:r>
    </w:p>
    <w:p>
      <w:pPr>
        <w:pStyle w:val="TextBody"/>
        <w:spacing w:before="120" w:after="283"/>
        <w:jc w:val="center"/>
        <w:rPr/>
      </w:pPr>
      <w:r>
        <w:rPr/>
        <w:drawing>
          <wp:inline distT="0" distB="63500" distL="0" distR="0">
            <wp:extent cx="31432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428625"/>
                    </a:xfrm>
                    <a:prstGeom prst="rect">
                      <a:avLst/>
                    </a:prstGeom>
                  </pic:spPr>
                </pic:pic>
              </a:graphicData>
            </a:graphic>
          </wp:inline>
        </w:drawing>
      </w:r>
    </w:p>
    <w:p>
      <w:pPr>
        <w:pStyle w:val="TextBody"/>
        <w:spacing w:lineRule="auto" w:line="288" w:before="120" w:after="283"/>
        <w:jc w:val="center"/>
        <w:rPr>
          <w:rFonts w:ascii="Arial;sans-serif" w:hAnsi="Arial;sans-serif"/>
          <w:b/>
          <w:color w:val="000000"/>
          <w:sz w:val="40"/>
        </w:rPr>
      </w:pPr>
      <w:r>
        <w:rPr>
          <w:rFonts w:ascii="Arial;sans-serif" w:hAnsi="Arial;sans-serif"/>
          <w:b/>
          <w:color w:val="000000"/>
          <w:sz w:val="40"/>
        </w:rPr>
        <w:t>Sun Country Airlines Holdings, Inc.</w:t>
      </w:r>
    </w:p>
    <w:p>
      <w:pPr>
        <w:pStyle w:val="TextBody"/>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6990" w:type="dxa"/>
        <w:jc w:val="left"/>
        <w:tblInd w:w="0" w:type="dxa"/>
        <w:tblCellMar>
          <w:top w:w="28" w:type="dxa"/>
          <w:left w:w="28" w:type="dxa"/>
          <w:bottom w:w="28" w:type="dxa"/>
          <w:right w:w="28" w:type="dxa"/>
        </w:tblCellMar>
      </w:tblPr>
      <w:tblGrid>
        <w:gridCol w:w="1570"/>
        <w:gridCol w:w="1378"/>
        <w:gridCol w:w="1387"/>
        <w:gridCol w:w="773"/>
        <w:gridCol w:w="773"/>
        <w:gridCol w:w="1109"/>
      </w:tblGrid>
      <w:tr>
        <w:trPr/>
        <w:tc>
          <w:tcPr>
            <w:tcW w:w="1570"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Delaware</w:t>
            </w:r>
          </w:p>
        </w:tc>
        <w:tc>
          <w:tcPr>
            <w:tcW w:w="265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82-4092570</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Arial;sans-serif" w:hAnsi="Arial;sans-serif"/>
                <w:b w:val="false"/>
                <w:color w:val="000000"/>
                <w:sz w:val="16"/>
              </w:rPr>
            </w:pPr>
            <w:r>
              <w:rPr>
                <w:rFonts w:ascii="Arial;sans-serif" w:hAnsi="Arial;sans-serif"/>
                <w:b w:val="false"/>
                <w:color w:val="000000"/>
                <w:sz w:val="16"/>
              </w:rPr>
              <w:t>2005 Cargo Road</w:t>
            </w:r>
          </w:p>
        </w:tc>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Arial;sans-serif" w:hAnsi="Arial;sans-serif"/>
                <w:b w:val="false"/>
                <w:color w:val="000000"/>
                <w:sz w:val="16"/>
              </w:rPr>
            </w:pPr>
            <w:r>
              <w:rPr>
                <w:rFonts w:ascii="Arial;sans-serif" w:hAnsi="Arial;sans-serif"/>
                <w:b w:val="false"/>
                <w:color w:val="000000"/>
                <w:sz w:val="16"/>
              </w:rPr>
              <w:t>Minneapolis, Minnesota</w:t>
            </w:r>
          </w:p>
        </w:tc>
        <w:tc>
          <w:tcPr>
            <w:tcW w:w="2655"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Arial;sans-serif" w:hAnsi="Arial;sans-serif"/>
                <w:b w:val="false"/>
                <w:color w:val="000000"/>
                <w:sz w:val="16"/>
              </w:rPr>
            </w:pPr>
            <w:r>
              <w:rPr>
                <w:rFonts w:ascii="Arial;sans-serif" w:hAnsi="Arial;sans-serif"/>
                <w:b w:val="false"/>
                <w:color w:val="000000"/>
                <w:sz w:val="16"/>
              </w:rPr>
              <w:t>55450</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6"/>
            <w:tcBorders/>
            <w:shd w:fill="auto" w:val="clear"/>
            <w:tcMar>
              <w:top w:w="0" w:type="dxa"/>
              <w:left w:w="0" w:type="dxa"/>
              <w:bottom w:w="0" w:type="dxa"/>
              <w:right w:w="0" w:type="dxa"/>
            </w:tcMar>
            <w:vAlign w:val="center"/>
          </w:tcPr>
          <w:p>
            <w:pPr>
              <w:pStyle w:val="TableContents"/>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 (651) 681-3900</w:t>
            </w:r>
          </w:p>
        </w:tc>
      </w:tr>
      <w:tr>
        <w:trPr/>
        <w:tc>
          <w:tcPr>
            <w:tcW w:w="699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511" w:type="dxa"/>
        <w:jc w:val="left"/>
        <w:tblInd w:w="0" w:type="dxa"/>
        <w:tblCellMar>
          <w:top w:w="28" w:type="dxa"/>
          <w:left w:w="28" w:type="dxa"/>
          <w:bottom w:w="28" w:type="dxa"/>
          <w:right w:w="28" w:type="dxa"/>
        </w:tblCellMar>
      </w:tblPr>
      <w:tblGrid>
        <w:gridCol w:w="1162"/>
        <w:gridCol w:w="1017"/>
        <w:gridCol w:w="1030"/>
        <w:gridCol w:w="109"/>
        <w:gridCol w:w="109"/>
        <w:gridCol w:w="109"/>
        <w:gridCol w:w="414"/>
        <w:gridCol w:w="414"/>
        <w:gridCol w:w="416"/>
        <w:gridCol w:w="109"/>
        <w:gridCol w:w="109"/>
        <w:gridCol w:w="109"/>
        <w:gridCol w:w="995"/>
        <w:gridCol w:w="995"/>
        <w:gridCol w:w="1414"/>
      </w:tblGrid>
      <w:tr>
        <w:trPr/>
        <w:tc>
          <w:tcPr>
            <w:tcW w:w="1162"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20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SNCY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spacing w:lineRule="auto" w:line="288" w:before="120" w:after="283"/>
        <w:ind w:left="0" w:right="0" w:firstLine="360"/>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lineRule="auto" w:line="288" w:before="120" w:after="283"/>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lineRule="auto" w:line="288" w:before="120" w:after="283"/>
        <w:ind w:left="0" w:right="0" w:firstLine="360"/>
        <w:rPr>
          <w:rFonts w:ascii="Arial;sans-serif" w:hAnsi="Arial;sans-serif"/>
          <w:b w:val="false"/>
          <w:color w:val="000000"/>
          <w:sz w:val="16"/>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lineRule="auto" w:line="288" w:before="120" w:after="283"/>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lineRule="auto" w:line="288" w:before="120" w:after="283"/>
        <w:ind w:left="0" w:right="0" w:firstLine="360"/>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925" w:type="dxa"/>
        <w:jc w:val="left"/>
        <w:tblInd w:w="0" w:type="dxa"/>
        <w:tblCellMar>
          <w:top w:w="28" w:type="dxa"/>
          <w:left w:w="28" w:type="dxa"/>
          <w:bottom w:w="28" w:type="dxa"/>
          <w:right w:w="28" w:type="dxa"/>
        </w:tblCellMar>
      </w:tblPr>
      <w:tblGrid>
        <w:gridCol w:w="124"/>
        <w:gridCol w:w="109"/>
        <w:gridCol w:w="109"/>
        <w:gridCol w:w="679"/>
        <w:gridCol w:w="679"/>
        <w:gridCol w:w="681"/>
        <w:gridCol w:w="749"/>
        <w:gridCol w:w="749"/>
        <w:gridCol w:w="752"/>
        <w:gridCol w:w="672"/>
        <w:gridCol w:w="672"/>
        <w:gridCol w:w="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Arial;sans-serif" w:hAnsi="Arial;sans-serif"/>
                <w:b w:val="false"/>
                <w:color w:val="000000"/>
                <w:sz w:val="16"/>
              </w:rPr>
              <w:t xml:space="preserve">Large accelerated Filer </w:t>
            </w:r>
            <w:r>
              <w:rPr>
                <w:color w:val="000000"/>
              </w:rPr>
              <w:t>☐</w:t>
            </w:r>
          </w:p>
        </w:tc>
        <w:tc>
          <w:tcPr>
            <w:tcW w:w="2250"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Arial;sans-serif" w:hAnsi="Arial;sans-serif"/>
                <w:b w:val="false"/>
                <w:color w:val="000000"/>
                <w:sz w:val="16"/>
              </w:rPr>
              <w:t xml:space="preserve">Accelerated Filer </w:t>
            </w:r>
            <w:r>
              <w:rPr>
                <w:color w:val="000000"/>
              </w:rPr>
              <w:t>☑</w:t>
            </w:r>
          </w:p>
        </w:tc>
        <w:tc>
          <w:tcPr>
            <w:tcW w:w="229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r>
              <w:rPr>
                <w:rFonts w:ascii="Arial;sans-serif" w:hAnsi="Arial;sans-serif"/>
                <w:b w:val="false"/>
                <w:color w:val="000000"/>
                <w:sz w:val="16"/>
              </w:rPr>
              <w:t xml:space="preserve">Non-accelerated Filer </w:t>
            </w:r>
            <w:r>
              <w:rPr>
                <w:color w:val="00000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rFonts w:ascii="Arial;sans-serif" w:hAnsi="Arial;sans-serif"/>
                <w:b w:val="false"/>
                <w:color w:val="000000"/>
                <w:sz w:val="16"/>
              </w:rPr>
            </w:pPr>
            <w:r>
              <w:rPr>
                <w:rFonts w:ascii="Arial;sans-serif" w:hAnsi="Arial;sans-serif"/>
                <w:b w:val="false"/>
                <w:color w:val="000000"/>
                <w:sz w:val="16"/>
              </w:rPr>
              <w:t>Smaller reporting company ☐</w:t>
            </w:r>
          </w:p>
        </w:tc>
        <w:tc>
          <w:tcPr>
            <w:tcW w:w="229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rFonts w:ascii="Arial;sans-serif" w:hAnsi="Arial;sans-serif"/>
                <w:b w:val="false"/>
                <w:color w:val="000000"/>
                <w:sz w:val="16"/>
              </w:rPr>
            </w:pPr>
            <w:r>
              <w:rPr>
                <w:rFonts w:ascii="Arial;sans-serif" w:hAnsi="Arial;sans-serif"/>
                <w:b w:val="false"/>
                <w:color w:val="000000"/>
                <w:sz w:val="16"/>
              </w:rPr>
              <w:t>Emerging growth company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ind w:left="0" w:right="0" w:firstLine="360"/>
        <w:rPr>
          <w:rFonts w:ascii="Arial;sans-serif" w:hAnsi="Arial;sans-serif"/>
          <w:b w:val="false"/>
          <w:color w:val="000000"/>
          <w:sz w:val="16"/>
        </w:rPr>
      </w:pPr>
      <w:r>
        <w:rPr>
          <w:rFonts w:ascii="Arial;sans-serif" w:hAnsi="Arial;sans-serif"/>
          <w:b w:val="false"/>
          <w:color w:val="000000"/>
          <w:sz w:val="16"/>
        </w:rPr>
        <w:t>Indicate by check mark whether the registrant is a shell company (as defined in Rule 12b-2 of the Exchange Act).</w:t>
      </w:r>
    </w:p>
    <w:p>
      <w:pPr>
        <w:pStyle w:val="TextBody"/>
        <w:spacing w:lineRule="auto" w:line="288" w:before="0" w:after="0"/>
        <w:jc w:val="center"/>
        <w:rPr/>
      </w:pPr>
      <w:r>
        <w:rPr>
          <w:rFonts w:ascii="Arial;sans-serif" w:hAnsi="Arial;sans-serif"/>
          <w:b w:val="false"/>
          <w:color w:val="000000"/>
          <w:sz w:val="16"/>
        </w:rPr>
        <w:t xml:space="preserve">Yes </w:t>
      </w:r>
      <w:r>
        <w:rPr>
          <w:color w:val="000000"/>
        </w:rPr>
        <w:t xml:space="preserve">☐ </w:t>
      </w:r>
      <w:r>
        <w:rPr>
          <w:rFonts w:ascii="Arial;sans-serif" w:hAnsi="Arial;sans-serif"/>
          <w:b w:val="false"/>
          <w:color w:val="000000"/>
          <w:sz w:val="16"/>
        </w:rPr>
        <w:t xml:space="preserve">No </w:t>
      </w:r>
      <w:r>
        <w:rPr>
          <w:color w:val="000000"/>
        </w:rPr>
        <w:t>☑</w:t>
      </w:r>
    </w:p>
    <w:p>
      <w:pPr>
        <w:pStyle w:val="TextBody"/>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Number of shares outstanding by each class of common stock, as of March 31, 2023:</w:t>
      </w:r>
    </w:p>
    <w:p>
      <w:pPr>
        <w:pStyle w:val="TextBody"/>
        <w:spacing w:lineRule="auto" w:line="288" w:before="0" w:after="0"/>
        <w:jc w:val="center"/>
        <w:rPr/>
      </w:pPr>
      <w:r>
        <w:rPr>
          <w:rFonts w:ascii="Arial;sans-serif" w:hAnsi="Arial;sans-serif"/>
          <w:b w:val="false"/>
          <w:color w:val="000000"/>
          <w:sz w:val="16"/>
        </w:rPr>
        <w:t>Common Stock, $0.01 par value –</w:t>
      </w:r>
      <w:r>
        <w:rPr>
          <w:color w:val="000000"/>
          <w:highlight w:val="white"/>
        </w:rPr>
        <w:t xml:space="preserve"> </w:t>
      </w:r>
      <w:r>
        <w:rPr>
          <w:rFonts w:ascii="Arial;sans-serif" w:hAnsi="Arial;sans-serif"/>
          <w:b w:val="false"/>
          <w:color w:val="000000"/>
          <w:sz w:val="16"/>
          <w:highlight w:val="white"/>
        </w:rPr>
        <w:t>56,241,005 shares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wps:spPr>
                      <wps:txbx>
                        <w:txbxContent>
                          <w:p>
                            <w:pPr>
                              <w:pStyle w:val="TextBody"/>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480" w:after="600"/>
                        <w:jc w:val="center"/>
                        <w:rPr/>
                      </w:pPr>
                      <w:r>
                        <w:rPr/>
                      </w:r>
                    </w:p>
                  </w:txbxContent>
                </v:textbox>
              </v:rect>
            </w:pict>
          </mc:Fallback>
        </mc:AlternateContent>
      </w:r>
    </w:p>
    <w:p>
      <w:pPr>
        <w:pStyle w:val="TextBody"/>
        <w:spacing w:lineRule="auto" w:line="288" w:before="432" w:after="283"/>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Form 10-Q</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9134" w:type="dxa"/>
        <w:jc w:val="left"/>
        <w:tblInd w:w="0" w:type="dxa"/>
        <w:tblCellMar>
          <w:top w:w="28" w:type="dxa"/>
          <w:left w:w="28" w:type="dxa"/>
          <w:bottom w:w="28" w:type="dxa"/>
          <w:right w:w="28" w:type="dxa"/>
        </w:tblCellMar>
      </w:tblPr>
      <w:tblGrid>
        <w:gridCol w:w="1290"/>
        <w:gridCol w:w="1134"/>
        <w:gridCol w:w="1134"/>
        <w:gridCol w:w="1648"/>
        <w:gridCol w:w="1648"/>
        <w:gridCol w:w="1679"/>
        <w:gridCol w:w="176"/>
        <w:gridCol w:w="176"/>
        <w:gridCol w:w="249"/>
      </w:tblGrid>
      <w:tr>
        <w:trPr/>
        <w:tc>
          <w:tcPr>
            <w:tcW w:w="1290"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0">
              <w:r>
                <w:rPr>
                  <w:rStyle w:val="InternetLink"/>
                  <w:rFonts w:ascii="Arial;sans-serif" w:hAnsi="Arial;sans-serif"/>
                  <w:b/>
                  <w:color w:val="0000FF"/>
                  <w:sz w:val="20"/>
                  <w:u w:val="single"/>
                </w:rPr>
                <w:t>Part I. Financial Information</w:t>
              </w:r>
            </w:hyperlink>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3">
              <w:r>
                <w:rPr>
                  <w:rStyle w:val="InternetLink"/>
                  <w:rFonts w:ascii="Arial;sans-serif" w:hAnsi="Arial;sans-serif"/>
                  <w:b w:val="false"/>
                  <w:color w:val="0000FF"/>
                  <w:sz w:val="20"/>
                  <w:u w:val="single"/>
                </w:rPr>
                <w:t>Item 1. Financial Statements</w:t>
              </w:r>
            </w:hyperlink>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6">
              <w:r>
                <w:rPr>
                  <w:rStyle w:val="InternetLink"/>
                  <w:rFonts w:ascii="Arial;sans-serif" w:hAnsi="Arial;sans-serif"/>
                  <w:b w:val="false"/>
                  <w:color w:val="0000FF"/>
                  <w:sz w:val="20"/>
                  <w:u w:val="single"/>
                </w:rPr>
                <w:t>Condensed Consolidated Balance Sheets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6">
              <w:r>
                <w:rPr>
                  <w:rStyle w:val="InternetLink"/>
                  <w:rFonts w:ascii="Arial;sans-serif" w:hAnsi="Arial;sans-serif"/>
                  <w:b w:val="false"/>
                  <w:strike w:val="false"/>
                  <w:dstrike w:val="false"/>
                  <w:color w:val="000000"/>
                  <w:sz w:val="20"/>
                  <w:u w:val="none"/>
                  <w:effect w:val="none"/>
                </w:rPr>
                <w:t>3</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9">
              <w:r>
                <w:rPr>
                  <w:rStyle w:val="InternetLink"/>
                  <w:rFonts w:ascii="Arial;sans-serif" w:hAnsi="Arial;sans-serif"/>
                  <w:b w:val="false"/>
                  <w:color w:val="0000FF"/>
                  <w:sz w:val="20"/>
                  <w:u w:val="single"/>
                </w:rPr>
                <w:t>Condensed Consolidated Statements of Operations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9">
              <w:r>
                <w:rPr>
                  <w:rStyle w:val="InternetLink"/>
                  <w:rFonts w:ascii="Arial;sans-serif" w:hAnsi="Arial;sans-serif"/>
                  <w:b w:val="false"/>
                  <w:strike w:val="false"/>
                  <w:dstrike w:val="false"/>
                  <w:color w:val="000000"/>
                  <w:sz w:val="20"/>
                  <w:u w:val="none"/>
                  <w:effect w:val="none"/>
                </w:rPr>
                <w:t>5</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22">
              <w:r>
                <w:rPr>
                  <w:rStyle w:val="InternetLink"/>
                  <w:rFonts w:ascii="Arial;sans-serif" w:hAnsi="Arial;sans-serif"/>
                  <w:b w:val="false"/>
                  <w:color w:val="0000FF"/>
                  <w:sz w:val="20"/>
                  <w:u w:val="single"/>
                </w:rPr>
                <w:t>Condensed Consolidated Statements of Comprehensive Income</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22">
              <w:r>
                <w:rPr>
                  <w:rStyle w:val="InternetLink"/>
                  <w:rFonts w:ascii="Arial;sans-serif" w:hAnsi="Arial;sans-serif"/>
                  <w:b w:val="false"/>
                  <w:strike w:val="false"/>
                  <w:dstrike w:val="false"/>
                  <w:color w:val="000000"/>
                  <w:sz w:val="20"/>
                  <w:u w:val="none"/>
                  <w:effect w:val="none"/>
                </w:rPr>
                <w:t>6</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25">
              <w:r>
                <w:rPr>
                  <w:rStyle w:val="InternetLink"/>
                  <w:rFonts w:ascii="Arial;sans-serif" w:hAnsi="Arial;sans-serif"/>
                  <w:b w:val="false"/>
                  <w:color w:val="0000FF"/>
                  <w:sz w:val="20"/>
                  <w:u w:val="single"/>
                </w:rPr>
                <w:t>Condensed Consolidated Statements of Changes in Stockholders’ Equity</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25">
              <w:r>
                <w:rPr>
                  <w:rStyle w:val="InternetLink"/>
                  <w:rFonts w:ascii="Arial;sans-serif" w:hAnsi="Arial;sans-serif"/>
                  <w:b w:val="false"/>
                  <w:strike w:val="false"/>
                  <w:dstrike w:val="false"/>
                  <w:color w:val="000000"/>
                  <w:sz w:val="20"/>
                  <w:u w:val="none"/>
                  <w:effect w:val="none"/>
                </w:rPr>
                <w:t>7</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28">
              <w:r>
                <w:rPr>
                  <w:rStyle w:val="InternetLink"/>
                  <w:rFonts w:ascii="Arial;sans-serif" w:hAnsi="Arial;sans-serif"/>
                  <w:b w:val="false"/>
                  <w:color w:val="0000FF"/>
                  <w:sz w:val="20"/>
                  <w:u w:val="single"/>
                </w:rPr>
                <w:t>Condensed Consolidated Statements of Cash Flows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28">
              <w:r>
                <w:rPr>
                  <w:rStyle w:val="InternetLink"/>
                  <w:rFonts w:ascii="Arial;sans-serif" w:hAnsi="Arial;sans-serif"/>
                  <w:b w:val="false"/>
                  <w:strike w:val="false"/>
                  <w:dstrike w:val="false"/>
                  <w:color w:val="000000"/>
                  <w:sz w:val="20"/>
                  <w:u w:val="none"/>
                  <w:effect w:val="none"/>
                </w:rPr>
                <w:t>8</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31">
              <w:r>
                <w:rPr>
                  <w:rStyle w:val="InternetLink"/>
                  <w:rFonts w:ascii="Arial;sans-serif" w:hAnsi="Arial;sans-serif"/>
                  <w:b w:val="false"/>
                  <w:color w:val="0000FF"/>
                  <w:sz w:val="20"/>
                  <w:u w:val="single"/>
                </w:rPr>
                <w:t>Notes to the Condensed Consolidated Financial Statements</w:t>
              </w:r>
            </w:hyperlink>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2b162e4fbd8a45798bfaba84fde8af40_34">
              <w:r>
                <w:rPr>
                  <w:rStyle w:val="InternetLink"/>
                  <w:rFonts w:ascii="Arial;sans-serif" w:hAnsi="Arial;sans-serif"/>
                  <w:b w:val="false"/>
                  <w:color w:val="0000FF"/>
                  <w:sz w:val="20"/>
                  <w:u w:val="single"/>
                </w:rPr>
                <w:t>1</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34">
              <w:r>
                <w:rPr>
                  <w:rStyle w:val="InternetLink"/>
                  <w:rFonts w:ascii="Arial;sans-serif" w:hAnsi="Arial;sans-serif"/>
                  <w:b w:val="false"/>
                  <w:color w:val="0000FF"/>
                  <w:sz w:val="20"/>
                  <w:u w:val="single"/>
                </w:rPr>
                <w:t>Basis of Presentation</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34">
              <w:r>
                <w:rPr>
                  <w:rStyle w:val="InternetLink"/>
                  <w:rFonts w:ascii="Arial;sans-serif" w:hAnsi="Arial;sans-serif"/>
                  <w:b w:val="false"/>
                  <w:strike w:val="false"/>
                  <w:dstrike w:val="false"/>
                  <w:color w:val="000000"/>
                  <w:sz w:val="20"/>
                  <w:u w:val="none"/>
                  <w:effect w:val="none"/>
                </w:rPr>
                <w:t>9</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40">
              <w:r>
                <w:rPr>
                  <w:rStyle w:val="InternetLink"/>
                  <w:rFonts w:ascii="Arial;sans-serif" w:hAnsi="Arial;sans-serif"/>
                  <w:b w:val="false"/>
                  <w:color w:val="0000FF"/>
                  <w:sz w:val="20"/>
                  <w:u w:val="single"/>
                </w:rPr>
                <w:t>2</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40">
              <w:r>
                <w:rPr>
                  <w:rStyle w:val="InternetLink"/>
                  <w:rFonts w:ascii="Arial;sans-serif" w:hAnsi="Arial;sans-serif"/>
                  <w:b w:val="false"/>
                  <w:color w:val="0000FF"/>
                  <w:sz w:val="20"/>
                  <w:u w:val="single"/>
                </w:rPr>
                <w:t>Coronavirus Aid, Relief, and Economic Security Act</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40">
              <w:r>
                <w:rPr>
                  <w:rStyle w:val="InternetLink"/>
                  <w:rFonts w:ascii="Arial;sans-serif" w:hAnsi="Arial;sans-serif"/>
                  <w:b w:val="false"/>
                  <w:strike w:val="false"/>
                  <w:dstrike w:val="false"/>
                  <w:color w:val="000000"/>
                  <w:sz w:val="20"/>
                  <w:u w:val="none"/>
                  <w:effect w:val="none"/>
                </w:rPr>
                <w:t>9</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43">
              <w:r>
                <w:rPr>
                  <w:rStyle w:val="InternetLink"/>
                  <w:rFonts w:ascii="Arial;sans-serif" w:hAnsi="Arial;sans-serif"/>
                  <w:b w:val="false"/>
                  <w:color w:val="0000FF"/>
                  <w:sz w:val="20"/>
                  <w:u w:val="single"/>
                </w:rPr>
                <w:t>3</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43">
              <w:r>
                <w:rPr>
                  <w:rStyle w:val="InternetLink"/>
                  <w:rFonts w:ascii="Arial;sans-serif" w:hAnsi="Arial;sans-serif"/>
                  <w:b w:val="false"/>
                  <w:color w:val="0000FF"/>
                  <w:sz w:val="20"/>
                  <w:u w:val="single"/>
                </w:rPr>
                <w:t>Revenue</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43">
              <w:r>
                <w:rPr>
                  <w:rStyle w:val="InternetLink"/>
                  <w:rFonts w:ascii="Arial;sans-serif" w:hAnsi="Arial;sans-serif"/>
                  <w:b w:val="false"/>
                  <w:strike w:val="false"/>
                  <w:dstrike w:val="false"/>
                  <w:color w:val="000000"/>
                  <w:sz w:val="20"/>
                  <w:u w:val="none"/>
                  <w:effect w:val="none"/>
                </w:rPr>
                <w:t>9</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46">
              <w:r>
                <w:rPr>
                  <w:rStyle w:val="InternetLink"/>
                  <w:rFonts w:ascii="Arial;sans-serif" w:hAnsi="Arial;sans-serif"/>
                  <w:b w:val="false"/>
                  <w:color w:val="0000FF"/>
                  <w:sz w:val="20"/>
                  <w:u w:val="single"/>
                </w:rPr>
                <w:t>4</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46">
              <w:r>
                <w:rPr>
                  <w:rStyle w:val="InternetLink"/>
                  <w:rFonts w:ascii="Arial;sans-serif" w:hAnsi="Arial;sans-serif"/>
                  <w:b w:val="false"/>
                  <w:color w:val="0000FF"/>
                  <w:sz w:val="20"/>
                  <w:u w:val="single"/>
                </w:rPr>
                <w:t>Earnings per Share</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46">
              <w:r>
                <w:rPr>
                  <w:rStyle w:val="InternetLink"/>
                  <w:rFonts w:ascii="Arial;sans-serif" w:hAnsi="Arial;sans-serif"/>
                  <w:b w:val="false"/>
                  <w:strike w:val="false"/>
                  <w:dstrike w:val="false"/>
                  <w:color w:val="000000"/>
                  <w:sz w:val="20"/>
                  <w:u w:val="none"/>
                  <w:effect w:val="none"/>
                </w:rPr>
                <w:t>12</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49">
              <w:r>
                <w:rPr>
                  <w:rStyle w:val="InternetLink"/>
                  <w:rFonts w:ascii="Arial;sans-serif" w:hAnsi="Arial;sans-serif"/>
                  <w:b w:val="false"/>
                  <w:color w:val="0000FF"/>
                  <w:sz w:val="20"/>
                  <w:u w:val="single"/>
                </w:rPr>
                <w:t>5</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49">
              <w:r>
                <w:rPr>
                  <w:rStyle w:val="InternetLink"/>
                  <w:rFonts w:ascii="Arial;sans-serif" w:hAnsi="Arial;sans-serif"/>
                  <w:b w:val="false"/>
                  <w:color w:val="0000FF"/>
                  <w:sz w:val="20"/>
                  <w:u w:val="single"/>
                </w:rPr>
                <w:t>Aircraft</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49">
              <w:r>
                <w:rPr>
                  <w:rStyle w:val="InternetLink"/>
                  <w:rFonts w:ascii="Arial;sans-serif" w:hAnsi="Arial;sans-serif"/>
                  <w:b w:val="false"/>
                  <w:strike w:val="false"/>
                  <w:dstrike w:val="false"/>
                  <w:color w:val="000000"/>
                  <w:sz w:val="20"/>
                  <w:u w:val="none"/>
                  <w:effect w:val="none"/>
                </w:rPr>
                <w:t>12</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678">
              <w:r>
                <w:rPr>
                  <w:rStyle w:val="InternetLink"/>
                  <w:rFonts w:ascii="Arial;sans-serif" w:hAnsi="Arial;sans-serif"/>
                  <w:b w:val="false"/>
                  <w:color w:val="0000FF"/>
                  <w:sz w:val="20"/>
                  <w:u w:val="single"/>
                </w:rPr>
                <w:t>6</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678">
              <w:r>
                <w:rPr>
                  <w:rStyle w:val="InternetLink"/>
                  <w:rFonts w:ascii="Arial;sans-serif" w:hAnsi="Arial;sans-serif"/>
                  <w:b w:val="false"/>
                  <w:color w:val="0000FF"/>
                  <w:sz w:val="20"/>
                  <w:u w:val="single"/>
                </w:rPr>
                <w:t>Asset Acquisitions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678">
              <w:r>
                <w:rPr>
                  <w:rStyle w:val="InternetLink"/>
                  <w:rFonts w:ascii="Arial;sans-serif" w:hAnsi="Arial;sans-serif"/>
                  <w:b w:val="false"/>
                  <w:strike w:val="false"/>
                  <w:dstrike w:val="false"/>
                  <w:color w:val="000000"/>
                  <w:sz w:val="20"/>
                  <w:u w:val="none"/>
                  <w:effect w:val="none"/>
                </w:rPr>
                <w:t>14</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52">
              <w:r>
                <w:rPr>
                  <w:rStyle w:val="InternetLink"/>
                  <w:rFonts w:ascii="Arial;sans-serif" w:hAnsi="Arial;sans-serif"/>
                  <w:b w:val="false"/>
                  <w:color w:val="0000FF"/>
                  <w:sz w:val="20"/>
                  <w:u w:val="single"/>
                </w:rPr>
                <w:t>7</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52">
              <w:r>
                <w:rPr>
                  <w:rStyle w:val="InternetLink"/>
                  <w:rFonts w:ascii="Arial;sans-serif" w:hAnsi="Arial;sans-serif"/>
                  <w:b w:val="false"/>
                  <w:color w:val="0000FF"/>
                  <w:sz w:val="20"/>
                  <w:u w:val="single"/>
                </w:rPr>
                <w:t>Debt</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52">
              <w:r>
                <w:rPr>
                  <w:rStyle w:val="InternetLink"/>
                  <w:rFonts w:ascii="Arial;sans-serif" w:hAnsi="Arial;sans-serif"/>
                  <w:b w:val="false"/>
                  <w:strike w:val="false"/>
                  <w:dstrike w:val="false"/>
                  <w:color w:val="000000"/>
                  <w:sz w:val="20"/>
                  <w:u w:val="none"/>
                  <w:effect w:val="none"/>
                </w:rPr>
                <w:t>15</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58">
              <w:r>
                <w:rPr>
                  <w:rStyle w:val="InternetLink"/>
                  <w:rFonts w:ascii="Arial;sans-serif" w:hAnsi="Arial;sans-serif"/>
                  <w:b w:val="false"/>
                  <w:color w:val="0000FF"/>
                  <w:sz w:val="20"/>
                  <w:u w:val="single"/>
                </w:rPr>
                <w:t>8</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58">
              <w:r>
                <w:rPr>
                  <w:rStyle w:val="InternetLink"/>
                  <w:rFonts w:ascii="Arial;sans-serif" w:hAnsi="Arial;sans-serif"/>
                  <w:b w:val="false"/>
                  <w:color w:val="0000FF"/>
                  <w:sz w:val="20"/>
                  <w:u w:val="single"/>
                </w:rPr>
                <w:t>Investments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58">
              <w:r>
                <w:rPr>
                  <w:rStyle w:val="InternetLink"/>
                  <w:rFonts w:ascii="Arial;sans-serif" w:hAnsi="Arial;sans-serif"/>
                  <w:b w:val="false"/>
                  <w:strike w:val="false"/>
                  <w:dstrike w:val="false"/>
                  <w:color w:val="000000"/>
                  <w:sz w:val="20"/>
                  <w:u w:val="none"/>
                  <w:effect w:val="none"/>
                </w:rPr>
                <w:t>18</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61">
              <w:r>
                <w:rPr>
                  <w:rStyle w:val="InternetLink"/>
                  <w:rFonts w:ascii="Arial;sans-serif" w:hAnsi="Arial;sans-serif"/>
                  <w:b w:val="false"/>
                  <w:color w:val="0000FF"/>
                  <w:sz w:val="20"/>
                  <w:u w:val="single"/>
                </w:rPr>
                <w:t>9</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61">
              <w:r>
                <w:rPr>
                  <w:rStyle w:val="InternetLink"/>
                  <w:rFonts w:ascii="Arial;sans-serif" w:hAnsi="Arial;sans-serif"/>
                  <w:b w:val="false"/>
                  <w:color w:val="0000FF"/>
                  <w:sz w:val="20"/>
                  <w:u w:val="single"/>
                </w:rPr>
                <w:t>Fair Value Measurements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61">
              <w:r>
                <w:rPr>
                  <w:rStyle w:val="InternetLink"/>
                  <w:rFonts w:ascii="Arial;sans-serif" w:hAnsi="Arial;sans-serif"/>
                  <w:b w:val="false"/>
                  <w:strike w:val="false"/>
                  <w:dstrike w:val="false"/>
                  <w:color w:val="000000"/>
                  <w:sz w:val="20"/>
                  <w:u w:val="none"/>
                  <w:effect w:val="none"/>
                </w:rPr>
                <w:t>18</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64">
              <w:r>
                <w:rPr>
                  <w:rStyle w:val="InternetLink"/>
                  <w:rFonts w:ascii="Arial;sans-serif" w:hAnsi="Arial;sans-serif"/>
                  <w:b w:val="false"/>
                  <w:color w:val="0000FF"/>
                  <w:sz w:val="20"/>
                  <w:u w:val="single"/>
                </w:rPr>
                <w:t>10</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64">
              <w:r>
                <w:rPr>
                  <w:rStyle w:val="InternetLink"/>
                  <w:rFonts w:ascii="Arial;sans-serif" w:hAnsi="Arial;sans-serif"/>
                  <w:b w:val="false"/>
                  <w:color w:val="0000FF"/>
                  <w:sz w:val="20"/>
                  <w:u w:val="single"/>
                </w:rPr>
                <w:t>Income Taxes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64">
              <w:r>
                <w:rPr>
                  <w:rStyle w:val="InternetLink"/>
                  <w:rFonts w:ascii="Arial;sans-serif" w:hAnsi="Arial;sans-serif"/>
                  <w:b w:val="false"/>
                  <w:strike w:val="false"/>
                  <w:dstrike w:val="false"/>
                  <w:color w:val="000000"/>
                  <w:sz w:val="20"/>
                  <w:u w:val="none"/>
                  <w:effect w:val="none"/>
                </w:rPr>
                <w:t>19</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547">
              <w:r>
                <w:rPr>
                  <w:rStyle w:val="InternetLink"/>
                  <w:rFonts w:ascii="Arial;sans-serif" w:hAnsi="Arial;sans-serif"/>
                  <w:b w:val="false"/>
                  <w:color w:val="0000FF"/>
                  <w:sz w:val="20"/>
                  <w:u w:val="single"/>
                </w:rPr>
                <w:t>11</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547">
              <w:r>
                <w:rPr>
                  <w:rStyle w:val="InternetLink"/>
                  <w:rFonts w:ascii="Arial;sans-serif" w:hAnsi="Arial;sans-serif"/>
                  <w:b w:val="false"/>
                  <w:color w:val="0000FF"/>
                  <w:sz w:val="20"/>
                  <w:u w:val="single"/>
                </w:rPr>
                <w:t>Stockholders' Equity</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547">
              <w:r>
                <w:rPr>
                  <w:rStyle w:val="InternetLink"/>
                  <w:rFonts w:ascii="Arial;sans-serif" w:hAnsi="Arial;sans-serif"/>
                  <w:b w:val="false"/>
                  <w:strike w:val="false"/>
                  <w:dstrike w:val="false"/>
                  <w:color w:val="000000"/>
                  <w:sz w:val="20"/>
                  <w:u w:val="none"/>
                  <w:effect w:val="none"/>
                </w:rPr>
                <w:t>19</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70">
              <w:r>
                <w:rPr>
                  <w:rStyle w:val="InternetLink"/>
                  <w:rFonts w:ascii="Arial;sans-serif" w:hAnsi="Arial;sans-serif"/>
                  <w:b w:val="false"/>
                  <w:color w:val="0000FF"/>
                  <w:sz w:val="20"/>
                  <w:u w:val="single"/>
                </w:rPr>
                <w:t>12</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70">
              <w:r>
                <w:rPr>
                  <w:rStyle w:val="InternetLink"/>
                  <w:rFonts w:ascii="Arial;sans-serif" w:hAnsi="Arial;sans-serif"/>
                  <w:b w:val="false"/>
                  <w:color w:val="0000FF"/>
                  <w:sz w:val="20"/>
                  <w:u w:val="single"/>
                </w:rPr>
                <w:t>Commitments and Contingencies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70">
              <w:r>
                <w:rPr>
                  <w:rStyle w:val="InternetLink"/>
                  <w:rFonts w:ascii="Arial;sans-serif" w:hAnsi="Arial;sans-serif"/>
                  <w:b w:val="false"/>
                  <w:strike w:val="false"/>
                  <w:dstrike w:val="false"/>
                  <w:color w:val="000000"/>
                  <w:sz w:val="20"/>
                  <w:u w:val="none"/>
                  <w:effect w:val="none"/>
                </w:rPr>
                <w:t>20</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73">
              <w:r>
                <w:rPr>
                  <w:rStyle w:val="InternetLink"/>
                  <w:rFonts w:ascii="Arial;sans-serif" w:hAnsi="Arial;sans-serif"/>
                  <w:b w:val="false"/>
                  <w:color w:val="0000FF"/>
                  <w:sz w:val="20"/>
                  <w:u w:val="single"/>
                </w:rPr>
                <w:t>13</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73">
              <w:r>
                <w:rPr>
                  <w:rStyle w:val="InternetLink"/>
                  <w:rFonts w:ascii="Arial;sans-serif" w:hAnsi="Arial;sans-serif"/>
                  <w:b w:val="false"/>
                  <w:color w:val="0000FF"/>
                  <w:sz w:val="20"/>
                  <w:u w:val="single"/>
                </w:rPr>
                <w:t>Operating Segments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73">
              <w:r>
                <w:rPr>
                  <w:rStyle w:val="InternetLink"/>
                  <w:rFonts w:ascii="Arial;sans-serif" w:hAnsi="Arial;sans-serif"/>
                  <w:b w:val="false"/>
                  <w:strike w:val="false"/>
                  <w:dstrike w:val="false"/>
                  <w:color w:val="000000"/>
                  <w:sz w:val="20"/>
                  <w:u w:val="none"/>
                  <w:effect w:val="none"/>
                </w:rPr>
                <w:t>21</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2b162e4fbd8a45798bfaba84fde8af40_76">
              <w:r>
                <w:rPr>
                  <w:rStyle w:val="InternetLink"/>
                  <w:rFonts w:ascii="Arial;sans-serif" w:hAnsi="Arial;sans-serif"/>
                  <w:b w:val="false"/>
                  <w:color w:val="0000FF"/>
                  <w:sz w:val="20"/>
                  <w:u w:val="single"/>
                </w:rPr>
                <w:t>14</w:t>
              </w:r>
            </w:hyperlink>
          </w:p>
        </w:tc>
        <w:tc>
          <w:tcPr>
            <w:tcW w:w="49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76">
              <w:r>
                <w:rPr>
                  <w:rStyle w:val="InternetLink"/>
                  <w:rFonts w:ascii="Arial;sans-serif" w:hAnsi="Arial;sans-serif"/>
                  <w:b w:val="false"/>
                  <w:color w:val="0000FF"/>
                  <w:sz w:val="20"/>
                  <w:u w:val="single"/>
                </w:rPr>
                <w:t>Subsequent Events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76">
              <w:r>
                <w:rPr>
                  <w:rStyle w:val="InternetLink"/>
                  <w:rFonts w:ascii="Arial;sans-serif" w:hAnsi="Arial;sans-serif"/>
                  <w:b w:val="false"/>
                  <w:strike w:val="false"/>
                  <w:dstrike w:val="false"/>
                  <w:color w:val="000000"/>
                  <w:sz w:val="20"/>
                  <w:u w:val="none"/>
                  <w:effect w:val="none"/>
                </w:rPr>
                <w:t>21</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79">
              <w:r>
                <w:rPr>
                  <w:rStyle w:val="InternetLink"/>
                  <w:rFonts w:ascii="Arial;sans-serif" w:hAnsi="Arial;sans-serif"/>
                  <w:b w:val="false"/>
                  <w:color w:val="0000FF"/>
                  <w:sz w:val="20"/>
                  <w:u w:val="single"/>
                </w:rPr>
                <w:t>Item 2. Management’s Discussion and Analysis of Financial Condition and Results of Operations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79">
              <w:r>
                <w:rPr>
                  <w:rStyle w:val="InternetLink"/>
                  <w:rFonts w:ascii="Arial;sans-serif" w:hAnsi="Arial;sans-serif"/>
                  <w:b w:val="false"/>
                  <w:strike w:val="false"/>
                  <w:dstrike w:val="false"/>
                  <w:color w:val="000000"/>
                  <w:sz w:val="20"/>
                  <w:u w:val="none"/>
                  <w:effect w:val="none"/>
                </w:rPr>
                <w:t>22</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21">
              <w:r>
                <w:rPr>
                  <w:rStyle w:val="InternetLink"/>
                  <w:rFonts w:ascii="Arial;sans-serif" w:hAnsi="Arial;sans-serif"/>
                  <w:b w:val="false"/>
                  <w:color w:val="0000FF"/>
                  <w:sz w:val="20"/>
                  <w:u w:val="single"/>
                </w:rPr>
                <w:t>Item 3. Quantitative and Qualitative Disclosures About Market Risk</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21">
              <w:r>
                <w:rPr>
                  <w:rStyle w:val="InternetLink"/>
                  <w:rFonts w:ascii="Arial;sans-serif" w:hAnsi="Arial;sans-serif"/>
                  <w:b w:val="false"/>
                  <w:strike w:val="false"/>
                  <w:dstrike w:val="false"/>
                  <w:color w:val="000000"/>
                  <w:sz w:val="20"/>
                  <w:u w:val="none"/>
                  <w:effect w:val="none"/>
                </w:rPr>
                <w:t>39</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24">
              <w:r>
                <w:rPr>
                  <w:rStyle w:val="InternetLink"/>
                  <w:rFonts w:ascii="Arial;sans-serif" w:hAnsi="Arial;sans-serif"/>
                  <w:b w:val="false"/>
                  <w:color w:val="0000FF"/>
                  <w:sz w:val="20"/>
                  <w:u w:val="single"/>
                </w:rPr>
                <w:t>Item 4. Controls and Procedures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24">
              <w:r>
                <w:rPr>
                  <w:rStyle w:val="InternetLink"/>
                  <w:rFonts w:ascii="Arial;sans-serif" w:hAnsi="Arial;sans-serif"/>
                  <w:b w:val="false"/>
                  <w:strike w:val="false"/>
                  <w:dstrike w:val="false"/>
                  <w:color w:val="000000"/>
                  <w:sz w:val="20"/>
                  <w:u w:val="none"/>
                  <w:effect w:val="none"/>
                </w:rPr>
                <w:t>39</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27">
              <w:r>
                <w:rPr>
                  <w:rStyle w:val="InternetLink"/>
                  <w:rFonts w:ascii="Arial;sans-serif" w:hAnsi="Arial;sans-serif"/>
                  <w:b/>
                  <w:color w:val="0000FF"/>
                  <w:sz w:val="20"/>
                  <w:u w:val="single"/>
                </w:rPr>
                <w:t>Part II. Other Information</w:t>
              </w:r>
            </w:hyperlink>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30">
              <w:r>
                <w:rPr>
                  <w:rStyle w:val="InternetLink"/>
                  <w:rFonts w:ascii="Arial;sans-serif" w:hAnsi="Arial;sans-serif"/>
                  <w:b w:val="false"/>
                  <w:color w:val="0000FF"/>
                  <w:sz w:val="20"/>
                  <w:u w:val="single"/>
                </w:rPr>
                <w:t>Item 1. Legal Proceedings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30">
              <w:r>
                <w:rPr>
                  <w:rStyle w:val="InternetLink"/>
                  <w:rFonts w:ascii="Arial;sans-serif" w:hAnsi="Arial;sans-serif"/>
                  <w:b w:val="false"/>
                  <w:strike w:val="false"/>
                  <w:dstrike w:val="false"/>
                  <w:color w:val="000000"/>
                  <w:sz w:val="20"/>
                  <w:u w:val="none"/>
                  <w:effect w:val="none"/>
                </w:rPr>
                <w:t>41</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33">
              <w:r>
                <w:rPr>
                  <w:rStyle w:val="InternetLink"/>
                  <w:rFonts w:ascii="Arial;sans-serif" w:hAnsi="Arial;sans-serif"/>
                  <w:b w:val="false"/>
                  <w:color w:val="0000FF"/>
                  <w:sz w:val="20"/>
                  <w:u w:val="single"/>
                </w:rPr>
                <w:t>Item 1A. Risk Factors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33">
              <w:r>
                <w:rPr>
                  <w:rStyle w:val="InternetLink"/>
                  <w:rFonts w:ascii="Arial;sans-serif" w:hAnsi="Arial;sans-serif"/>
                  <w:b w:val="false"/>
                  <w:strike w:val="false"/>
                  <w:dstrike w:val="false"/>
                  <w:color w:val="000000"/>
                  <w:sz w:val="20"/>
                  <w:u w:val="none"/>
                  <w:effect w:val="none"/>
                </w:rPr>
                <w:t>41</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36">
              <w:r>
                <w:rPr>
                  <w:rStyle w:val="InternetLink"/>
                  <w:rFonts w:ascii="Arial;sans-serif" w:hAnsi="Arial;sans-serif"/>
                  <w:b w:val="false"/>
                  <w:color w:val="0000FF"/>
                  <w:sz w:val="20"/>
                  <w:u w:val="single"/>
                </w:rPr>
                <w:t>Item 2. Unregistered Sales of Equity Securities and Use of Proceeds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36">
              <w:r>
                <w:rPr>
                  <w:rStyle w:val="InternetLink"/>
                  <w:rFonts w:ascii="Arial;sans-serif" w:hAnsi="Arial;sans-serif"/>
                  <w:b w:val="false"/>
                  <w:strike w:val="false"/>
                  <w:dstrike w:val="false"/>
                  <w:color w:val="000000"/>
                  <w:sz w:val="20"/>
                  <w:u w:val="none"/>
                  <w:effect w:val="none"/>
                </w:rPr>
                <w:t>48</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39">
              <w:r>
                <w:rPr>
                  <w:rStyle w:val="InternetLink"/>
                  <w:rFonts w:ascii="Arial;sans-serif" w:hAnsi="Arial;sans-serif"/>
                  <w:b w:val="false"/>
                  <w:color w:val="0000FF"/>
                  <w:sz w:val="20"/>
                  <w:u w:val="single"/>
                </w:rPr>
                <w:t>Item 3. Defaults Upon Senior Securities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39">
              <w:r>
                <w:rPr>
                  <w:rStyle w:val="InternetLink"/>
                  <w:rFonts w:ascii="Arial;sans-serif" w:hAnsi="Arial;sans-serif"/>
                  <w:b w:val="false"/>
                  <w:strike w:val="false"/>
                  <w:dstrike w:val="false"/>
                  <w:color w:val="000000"/>
                  <w:sz w:val="20"/>
                  <w:u w:val="none"/>
                  <w:effect w:val="none"/>
                </w:rPr>
                <w:t>48</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42">
              <w:r>
                <w:rPr>
                  <w:rStyle w:val="InternetLink"/>
                  <w:rFonts w:ascii="Arial;sans-serif" w:hAnsi="Arial;sans-serif"/>
                  <w:b w:val="false"/>
                  <w:color w:val="0000FF"/>
                  <w:sz w:val="20"/>
                  <w:u w:val="single"/>
                </w:rPr>
                <w:t>Item 4. Mine Safety Disclosures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42">
              <w:r>
                <w:rPr>
                  <w:rStyle w:val="InternetLink"/>
                  <w:rFonts w:ascii="Arial;sans-serif" w:hAnsi="Arial;sans-serif"/>
                  <w:b w:val="false"/>
                  <w:strike w:val="false"/>
                  <w:dstrike w:val="false"/>
                  <w:color w:val="000000"/>
                  <w:sz w:val="20"/>
                  <w:u w:val="none"/>
                  <w:effect w:val="none"/>
                </w:rPr>
                <w:t>48</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45">
              <w:r>
                <w:rPr>
                  <w:rStyle w:val="InternetLink"/>
                  <w:rFonts w:ascii="Arial;sans-serif" w:hAnsi="Arial;sans-serif"/>
                  <w:b w:val="false"/>
                  <w:color w:val="0000FF"/>
                  <w:sz w:val="20"/>
                  <w:u w:val="single"/>
                </w:rPr>
                <w:t>Item 5. Other Information</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45">
              <w:r>
                <w:rPr>
                  <w:rStyle w:val="InternetLink"/>
                  <w:rFonts w:ascii="Arial;sans-serif" w:hAnsi="Arial;sans-serif"/>
                  <w:b w:val="false"/>
                  <w:strike w:val="false"/>
                  <w:dstrike w:val="false"/>
                  <w:color w:val="000000"/>
                  <w:sz w:val="20"/>
                  <w:u w:val="none"/>
                  <w:effect w:val="none"/>
                </w:rPr>
                <w:t>48</w:t>
              </w:r>
            </w:hyperlink>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48">
              <w:r>
                <w:rPr>
                  <w:rStyle w:val="InternetLink"/>
                  <w:rFonts w:ascii="Arial;sans-serif" w:hAnsi="Arial;sans-serif"/>
                  <w:b w:val="false"/>
                  <w:color w:val="0000FF"/>
                  <w:sz w:val="20"/>
                  <w:u w:val="single"/>
                </w:rPr>
                <w:t>Item 6. Exhibits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48">
              <w:r>
                <w:rPr>
                  <w:rStyle w:val="InternetLink"/>
                  <w:rFonts w:ascii="Arial;sans-serif" w:hAnsi="Arial;sans-serif"/>
                  <w:b w:val="false"/>
                  <w:strike w:val="false"/>
                  <w:dstrike w:val="false"/>
                  <w:color w:val="000000"/>
                  <w:sz w:val="20"/>
                  <w:u w:val="none"/>
                  <w:effect w:val="none"/>
                </w:rPr>
                <w:t>49</w:t>
              </w:r>
            </w:hyperlink>
          </w:p>
        </w:tc>
      </w:tr>
      <w:tr>
        <w:trPr/>
        <w:tc>
          <w:tcPr>
            <w:tcW w:w="3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3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162e4fbd8a45798bfaba84fde8af40_151">
              <w:r>
                <w:rPr>
                  <w:rStyle w:val="InternetLink"/>
                  <w:rFonts w:ascii="Arial;sans-serif" w:hAnsi="Arial;sans-serif"/>
                  <w:b w:val="false"/>
                  <w:color w:val="0000FF"/>
                  <w:sz w:val="20"/>
                  <w:u w:val="single"/>
                </w:rPr>
                <w:t>Signatures</w:t>
              </w:r>
            </w:hyperlink>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b162e4fbd8a45798bfaba84fde8af40_151">
              <w:r>
                <w:rPr>
                  <w:rStyle w:val="InternetLink"/>
                  <w:rFonts w:ascii="Arial;sans-serif" w:hAnsi="Arial;sans-serif"/>
                  <w:b w:val="false"/>
                  <w:strike w:val="false"/>
                  <w:dstrike w:val="false"/>
                  <w:color w:val="000000"/>
                  <w:sz w:val="20"/>
                  <w:u w:val="none"/>
                  <w:effect w:val="none"/>
                </w:rPr>
                <w:t>50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432" w:after="283"/>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CONDENSED CONSOLIDATED BALANCE SHEETS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560"/>
        <w:gridCol w:w="2209"/>
        <w:gridCol w:w="2218"/>
        <w:gridCol w:w="211"/>
        <w:gridCol w:w="976"/>
        <w:gridCol w:w="109"/>
        <w:gridCol w:w="109"/>
        <w:gridCol w:w="109"/>
        <w:gridCol w:w="109"/>
        <w:gridCol w:w="238"/>
        <w:gridCol w:w="1105"/>
        <w:gridCol w:w="252"/>
      </w:tblGrid>
      <w:tr>
        <w:trPr/>
        <w:tc>
          <w:tcPr>
            <w:tcW w:w="2560"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r>
        <w:trPr/>
        <w:tc>
          <w:tcPr>
            <w:tcW w:w="6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69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92,086 </w:t>
            </w:r>
          </w:p>
        </w:tc>
        <w:tc>
          <w:tcPr>
            <w:tcW w:w="252" w:type="dxa"/>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10,842 </w:t>
            </w:r>
          </w:p>
        </w:tc>
        <w:tc>
          <w:tcPr>
            <w:tcW w:w="252"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178,936 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18"/>
              </w:rPr>
              <w:t>Accounts Receivable, net of an allowance for credit losses of $245 and $231,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35,124 </w:t>
            </w:r>
          </w:p>
        </w:tc>
        <w:tc>
          <w:tcPr>
            <w:tcW w:w="252"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Lessor Maintenance Deposits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color w:val="000000"/>
              </w:rPr>
            </w:pPr>
            <w:r>
              <w:rPr>
                <w:color w:val="000000"/>
              </w:rPr>
              <w:t>  </w:t>
            </w:r>
            <w:r>
              <w:rPr>
                <w:rFonts w:ascii="Arial;sans-serif" w:hAnsi="Arial;sans-serif"/>
                <w:b w:val="false"/>
                <w:color w:val="000000"/>
                <w:sz w:val="18"/>
              </w:rPr>
              <w:t>Inventory, net of a reserve for obsolescence of $1,183 and $1,107,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7,659 </w:t>
            </w:r>
          </w:p>
        </w:tc>
        <w:tc>
          <w:tcPr>
            <w:tcW w:w="252"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11,423 </w:t>
            </w:r>
          </w:p>
        </w:tc>
        <w:tc>
          <w:tcPr>
            <w:tcW w:w="252" w:type="dxa"/>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8,179 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345,490 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Property &amp; Equipment, net:</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and Flight Equipment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636,584 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and Flight Equipment Held for Operating Lease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Ground Equipment and Leasehold Improvements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35,948 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Hardware and Software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10,831 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261,991 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Rotable Parts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17,059 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&amp;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962,413 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Depreciation &amp; Amortization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(176,746)</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&amp; Equipment,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785,667 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Other 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222,223 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Other Intangible Assets, net of accumulated amortization of $19,890 and $18,890,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85,110 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22,182 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Aircraft Deposits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9,134 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Lessor Maintenance Deposits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32,433 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12,956 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9,217 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393,255 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1,524,412 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432" w:after="283"/>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CONDENSED CONSOLIDATED BALANCE SHEETS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587"/>
        <w:gridCol w:w="2272"/>
        <w:gridCol w:w="2281"/>
        <w:gridCol w:w="211"/>
        <w:gridCol w:w="976"/>
        <w:gridCol w:w="109"/>
        <w:gridCol w:w="109"/>
        <w:gridCol w:w="109"/>
        <w:gridCol w:w="109"/>
        <w:gridCol w:w="226"/>
        <w:gridCol w:w="1048"/>
        <w:gridCol w:w="168"/>
      </w:tblGrid>
      <w:tr>
        <w:trPr/>
        <w:tc>
          <w:tcPr>
            <w:tcW w:w="2587" w:type="dxa"/>
            <w:tcBorders/>
            <w:shd w:fill="auto" w:val="clear"/>
            <w:vAlign w:val="center"/>
          </w:tcPr>
          <w:p>
            <w:pPr>
              <w:pStyle w:val="TableContents"/>
              <w:spacing w:before="0" w:after="283"/>
              <w:rPr>
                <w:sz w:val="4"/>
                <w:szCs w:val="4"/>
              </w:rPr>
            </w:pPr>
            <w:r>
              <w:rPr>
                <w:sz w:val="4"/>
                <w:szCs w:val="4"/>
              </w:rPr>
            </w:r>
          </w:p>
        </w:tc>
        <w:tc>
          <w:tcPr>
            <w:tcW w:w="2272"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7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62,370 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Salaries, Wages, and Benefits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Transportation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Air Traffic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157,995 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Loyalty Program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Maturities of Long-term Debt,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Agreement Liability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377,128 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Long-term 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Obligations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233,306 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Loyalty Program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Obligations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294,687 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Receivable Agreement Liability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101,540 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654,572 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1,031,700 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color w:val="000000"/>
                <w:sz w:val="18"/>
              </w:rPr>
              <w:t xml:space="preserve">Commitments and Contingencies (see </w:t>
            </w:r>
            <w:hyperlink w:anchor="i2b162e4fbd8a45798bfaba84fde8af40_70">
              <w:r>
                <w:rPr>
                  <w:rStyle w:val="InternetLink"/>
                  <w:rFonts w:ascii="Arial;sans-serif" w:hAnsi="Arial;sans-serif"/>
                  <w:b/>
                  <w:color w:val="0000FF"/>
                  <w:sz w:val="18"/>
                  <w:u w:val="single"/>
                </w:rPr>
                <w:t>Note 12</w:t>
              </w:r>
            </w:hyperlink>
            <w:r>
              <w:rPr>
                <w:rFonts w:ascii="Arial;sans-serif" w:hAnsi="Arial;sans-serif"/>
                <w:b/>
                <w:color w:val="000000"/>
                <w:sz w:val="18"/>
              </w:rPr>
              <w:t>)</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Stockholders'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hanging="90"/>
              <w:jc w:val="left"/>
              <w:rPr>
                <w:rFonts w:ascii="Arial;sans-serif" w:hAnsi="Arial;sans-serif"/>
                <w:b w:val="false"/>
                <w:color w:val="000000"/>
                <w:sz w:val="18"/>
              </w:rPr>
            </w:pPr>
            <w:r>
              <w:rPr>
                <w:rFonts w:ascii="Arial;sans-serif" w:hAnsi="Arial;sans-serif"/>
                <w:b w:val="false"/>
                <w:color w:val="000000"/>
                <w:sz w:val="18"/>
              </w:rPr>
              <w:t>Common stock, with $0.01 par value, 995,000,000 shares authorized, 58,364,752 and 58,217,647 issued and 56,241,005 and 57,325,238 outstanding at March 31, 2023 and December 31,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hanging="90"/>
              <w:jc w:val="left"/>
              <w:rPr>
                <w:rFonts w:ascii="Arial;sans-serif" w:hAnsi="Arial;sans-serif"/>
                <w:b w:val="false"/>
                <w:color w:val="000000"/>
                <w:sz w:val="18"/>
              </w:rPr>
            </w:pPr>
            <w:r>
              <w:rPr>
                <w:rFonts w:ascii="Arial;sans-serif" w:hAnsi="Arial;sans-serif"/>
                <w:b w:val="false"/>
                <w:color w:val="000000"/>
                <w:sz w:val="18"/>
              </w:rPr>
              <w:t>Preferred stock, with $0.01 par value, 5,000,000 shares authorized, no shares issued and outstanding at March 31, 2023 and December 31, 2022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18"/>
              </w:rPr>
            </w:pPr>
            <w:r>
              <w:rPr>
                <w:rFonts w:ascii="Arial;sans-serif" w:hAnsi="Arial;sans-serif"/>
                <w:b w:val="false"/>
                <w:color w:val="000000"/>
                <w:sz w:val="18"/>
              </w:rPr>
              <w:t>Treasury stock, at cost, 2,123,747 and 892,409 shares held at March 31, 2023 and December 31,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(17,605)</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488,494 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Retained Earnings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492,712 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1,524,412 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432" w:after="283"/>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6066" w:type="dxa"/>
        <w:jc w:val="left"/>
        <w:tblInd w:w="0" w:type="dxa"/>
        <w:tblCellMar>
          <w:top w:w="28" w:type="dxa"/>
          <w:left w:w="28" w:type="dxa"/>
          <w:bottom w:w="28" w:type="dxa"/>
          <w:right w:w="28" w:type="dxa"/>
        </w:tblCellMar>
      </w:tblPr>
      <w:tblGrid>
        <w:gridCol w:w="1168"/>
        <w:gridCol w:w="1026"/>
        <w:gridCol w:w="1030"/>
        <w:gridCol w:w="222"/>
        <w:gridCol w:w="904"/>
        <w:gridCol w:w="109"/>
        <w:gridCol w:w="109"/>
        <w:gridCol w:w="109"/>
        <w:gridCol w:w="109"/>
        <w:gridCol w:w="222"/>
        <w:gridCol w:w="904"/>
        <w:gridCol w:w="154"/>
      </w:tblGrid>
      <w:tr>
        <w:trPr/>
        <w:tc>
          <w:tcPr>
            <w:tcW w:w="1168"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Revenues:</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Operating Income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Income Before Income Tax</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 xml:space="preserve">Income Tax Expense </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Net Income</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59"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for computation:</w:t>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56,630,656 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57,907,655 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59,535,045 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61,731,942 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432" w:after="283"/>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787"/>
        <w:gridCol w:w="2428"/>
        <w:gridCol w:w="2444"/>
        <w:gridCol w:w="222"/>
        <w:gridCol w:w="793"/>
        <w:gridCol w:w="114"/>
        <w:gridCol w:w="114"/>
        <w:gridCol w:w="114"/>
        <w:gridCol w:w="114"/>
        <w:gridCol w:w="222"/>
        <w:gridCol w:w="682"/>
        <w:gridCol w:w="171"/>
      </w:tblGrid>
      <w:tr>
        <w:trPr/>
        <w:tc>
          <w:tcPr>
            <w:tcW w:w="2787" w:type="dxa"/>
            <w:tcBorders/>
            <w:shd w:fill="auto" w:val="clear"/>
            <w:vAlign w:val="center"/>
          </w:tcPr>
          <w:p>
            <w:pPr>
              <w:pStyle w:val="TableContents"/>
              <w:spacing w:before="0" w:after="283"/>
              <w:rPr>
                <w:sz w:val="4"/>
                <w:szCs w:val="4"/>
              </w:rPr>
            </w:pPr>
            <w:r>
              <w:rPr>
                <w:sz w:val="4"/>
                <w:szCs w:val="4"/>
              </w:rPr>
            </w:r>
          </w:p>
        </w:tc>
        <w:tc>
          <w:tcPr>
            <w:tcW w:w="2428" w:type="dxa"/>
            <w:tcBorders/>
            <w:shd w:fill="auto" w:val="clear"/>
            <w:vAlign w:val="center"/>
          </w:tcPr>
          <w:p>
            <w:pPr>
              <w:pStyle w:val="TableContents"/>
              <w:spacing w:before="0" w:after="283"/>
              <w:rPr>
                <w:sz w:val="4"/>
                <w:szCs w:val="4"/>
              </w:rPr>
            </w:pPr>
            <w:r>
              <w:rPr>
                <w:sz w:val="4"/>
                <w:szCs w:val="4"/>
              </w:rPr>
            </w:r>
          </w:p>
        </w:tc>
        <w:tc>
          <w:tcPr>
            <w:tcW w:w="244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7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7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w:t>
            </w:r>
          </w:p>
        </w:tc>
        <w:tc>
          <w:tcPr>
            <w:tcW w:w="1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Net unrealized gains on Available-for-Sale securities, net of deferred tax expense of $116 and $—, respectively </w:t>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Comprehensive Income </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38,717 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432" w:after="283"/>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432"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CONDENSED CONSOLIDATED STATEMENTS OF CHANGES IN STOCKHOLDERS’ EQUITY</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1864" w:type="dxa"/>
        <w:jc w:val="left"/>
        <w:tblInd w:w="0" w:type="dxa"/>
        <w:tblCellMar>
          <w:top w:w="28" w:type="dxa"/>
          <w:left w:w="28" w:type="dxa"/>
          <w:bottom w:w="28" w:type="dxa"/>
          <w:right w:w="28" w:type="dxa"/>
        </w:tblCellMar>
      </w:tblPr>
      <w:tblGrid>
        <w:gridCol w:w="596"/>
        <w:gridCol w:w="234"/>
        <w:gridCol w:w="236"/>
        <w:gridCol w:w="383"/>
        <w:gridCol w:w="383"/>
        <w:gridCol w:w="206"/>
        <w:gridCol w:w="109"/>
        <w:gridCol w:w="109"/>
        <w:gridCol w:w="109"/>
        <w:gridCol w:w="420"/>
        <w:gridCol w:w="421"/>
        <w:gridCol w:w="161"/>
        <w:gridCol w:w="109"/>
        <w:gridCol w:w="109"/>
        <w:gridCol w:w="109"/>
        <w:gridCol w:w="181"/>
        <w:gridCol w:w="376"/>
        <w:gridCol w:w="109"/>
        <w:gridCol w:w="109"/>
        <w:gridCol w:w="109"/>
        <w:gridCol w:w="109"/>
        <w:gridCol w:w="383"/>
        <w:gridCol w:w="383"/>
        <w:gridCol w:w="161"/>
        <w:gridCol w:w="109"/>
        <w:gridCol w:w="109"/>
        <w:gridCol w:w="109"/>
        <w:gridCol w:w="181"/>
        <w:gridCol w:w="571"/>
        <w:gridCol w:w="109"/>
        <w:gridCol w:w="109"/>
        <w:gridCol w:w="109"/>
        <w:gridCol w:w="109"/>
        <w:gridCol w:w="181"/>
        <w:gridCol w:w="646"/>
        <w:gridCol w:w="109"/>
        <w:gridCol w:w="109"/>
        <w:gridCol w:w="109"/>
        <w:gridCol w:w="109"/>
        <w:gridCol w:w="181"/>
        <w:gridCol w:w="571"/>
        <w:gridCol w:w="109"/>
        <w:gridCol w:w="109"/>
        <w:gridCol w:w="109"/>
        <w:gridCol w:w="109"/>
        <w:gridCol w:w="265"/>
        <w:gridCol w:w="551"/>
        <w:gridCol w:w="160"/>
        <w:gridCol w:w="109"/>
        <w:gridCol w:w="109"/>
        <w:gridCol w:w="109"/>
        <w:gridCol w:w="181"/>
        <w:gridCol w:w="646"/>
        <w:gridCol w:w="154"/>
      </w:tblGrid>
      <w:tr>
        <w:trPr/>
        <w:tc>
          <w:tcPr>
            <w:tcW w:w="59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8" w:type="dxa"/>
            <w:gridSpan w:val="51"/>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Three Months Ended March 31, 2023</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 xml:space="preserve">Common Stock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Retained</w:t>
              <w:br/>
              <w:t xml:space="preserve">Earnings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Accumulated Other Comprehensive (Loss) 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Total</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December 31, 2022</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2,402,268 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58,217,647 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892,409 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488,494 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(807)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492,712 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 Issued for Stock-Based Awards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147,105 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Stock Settlement of Stock-Based Awards</w:t>
            </w:r>
          </w:p>
        </w:tc>
        <w:tc>
          <w:tcPr>
            <w:tcW w:w="7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Common Stock Repurchases</w:t>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1,230,932 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(22,549)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(15,048)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7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38,328 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Amazon Warrants</w:t>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189,652 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 Comprehensive Income</w:t>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March 31, 2023</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2,591,920 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58,364,752 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2,123,747 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(40,162)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500,627 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60,376 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(418)</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521,007 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061" w:type="dxa"/>
        <w:jc w:val="left"/>
        <w:tblInd w:w="0" w:type="dxa"/>
        <w:tblCellMar>
          <w:top w:w="28" w:type="dxa"/>
          <w:left w:w="28" w:type="dxa"/>
          <w:bottom w:w="28" w:type="dxa"/>
          <w:right w:w="28" w:type="dxa"/>
        </w:tblCellMar>
      </w:tblPr>
      <w:tblGrid>
        <w:gridCol w:w="900"/>
        <w:gridCol w:w="791"/>
        <w:gridCol w:w="798"/>
        <w:gridCol w:w="383"/>
        <w:gridCol w:w="383"/>
        <w:gridCol w:w="206"/>
        <w:gridCol w:w="109"/>
        <w:gridCol w:w="109"/>
        <w:gridCol w:w="109"/>
        <w:gridCol w:w="420"/>
        <w:gridCol w:w="421"/>
        <w:gridCol w:w="161"/>
        <w:gridCol w:w="109"/>
        <w:gridCol w:w="109"/>
        <w:gridCol w:w="109"/>
        <w:gridCol w:w="181"/>
        <w:gridCol w:w="376"/>
        <w:gridCol w:w="109"/>
        <w:gridCol w:w="109"/>
        <w:gridCol w:w="109"/>
        <w:gridCol w:w="109"/>
        <w:gridCol w:w="296"/>
        <w:gridCol w:w="1056"/>
        <w:gridCol w:w="178"/>
        <w:gridCol w:w="109"/>
        <w:gridCol w:w="109"/>
        <w:gridCol w:w="109"/>
        <w:gridCol w:w="181"/>
        <w:gridCol w:w="496"/>
        <w:gridCol w:w="109"/>
        <w:gridCol w:w="109"/>
        <w:gridCol w:w="109"/>
        <w:gridCol w:w="109"/>
        <w:gridCol w:w="181"/>
        <w:gridCol w:w="646"/>
        <w:gridCol w:w="154"/>
      </w:tblGrid>
      <w:tr>
        <w:trPr/>
        <w:tc>
          <w:tcPr>
            <w:tcW w:w="900"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2" w:type="dxa"/>
            <w:gridSpan w:val="3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Three Months Ended March 31, 2022</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 xml:space="preserve">Common Stock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Retained</w:t>
              <w:br/>
              <w:t xml:space="preserve">Earnings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Total</w:t>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December 31, 2021</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1,643,660 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57,872,452 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485,638 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490,589 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 Issued for Stock-Based Awards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91,868 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7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Amazon Warrants</w:t>
            </w:r>
          </w:p>
        </w:tc>
        <w:tc>
          <w:tcPr>
            <w:tcW w:w="76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189,652 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6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920 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March 31, 2022</w:t>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1,833,312 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57,964,320 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488,480 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497,069 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4"/>
        </w:rPr>
      </w:pPr>
      <w:r>
        <w:rPr>
          <w:rFonts w:ascii="Arial;sans-serif" w:hAnsi="Arial;sans-serif"/>
          <w:b w:val="false"/>
          <w:color w:val="000000"/>
          <w:sz w:val="14"/>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432" w:after="283"/>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332"/>
        <w:gridCol w:w="2032"/>
        <w:gridCol w:w="2068"/>
        <w:gridCol w:w="234"/>
        <w:gridCol w:w="738"/>
        <w:gridCol w:w="140"/>
        <w:gridCol w:w="140"/>
        <w:gridCol w:w="140"/>
        <w:gridCol w:w="140"/>
        <w:gridCol w:w="234"/>
        <w:gridCol w:w="836"/>
        <w:gridCol w:w="140"/>
        <w:gridCol w:w="109"/>
        <w:gridCol w:w="109"/>
        <w:gridCol w:w="109"/>
        <w:gridCol w:w="109"/>
        <w:gridCol w:w="109"/>
        <w:gridCol w:w="109"/>
        <w:gridCol w:w="109"/>
        <w:gridCol w:w="109"/>
        <w:gridCol w:w="159"/>
      </w:tblGrid>
      <w:tr>
        <w:trPr/>
        <w:tc>
          <w:tcPr>
            <w:tcW w:w="2332" w:type="dxa"/>
            <w:tcBorders/>
            <w:shd w:fill="auto" w:val="clear"/>
            <w:vAlign w:val="center"/>
          </w:tcPr>
          <w:p>
            <w:pPr>
              <w:pStyle w:val="TableContents"/>
              <w:spacing w:before="0" w:after="283"/>
              <w:rPr>
                <w:sz w:val="4"/>
                <w:szCs w:val="4"/>
              </w:rPr>
            </w:pPr>
            <w:r>
              <w:rPr>
                <w:sz w:val="4"/>
                <w:szCs w:val="4"/>
              </w:rPr>
            </w:r>
          </w:p>
        </w:tc>
        <w:tc>
          <w:tcPr>
            <w:tcW w:w="2032"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 xml:space="preserve">Net Income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38,328 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Adjustments to reconcile Net Income to Cash from Operating Activities:</w:t>
            </w:r>
          </w:p>
        </w:tc>
        <w:tc>
          <w:tcPr>
            <w:tcW w:w="11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19,460 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15,328 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Income Taxes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10,450 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Changes in Operating Assets and Liabilities:</w:t>
            </w:r>
          </w:p>
        </w:tc>
        <w:tc>
          <w:tcPr>
            <w:tcW w:w="11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Inventory</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(346)</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Lessor Maintenance Deposits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(2,858)</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(3,919)</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Deposits</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(1,044)</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(6,262)</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9,500 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Transportation Taxes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(2,264)</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 Traffic Liabilities</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(16,382)</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(7,616)</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Loyalty Program Liabilities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(1,638)</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(2,344)</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Obligations</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(1,434)</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(3,240)</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Operating Activities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18,213 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&amp; Equipment</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(104,978)</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(49,683)</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Investments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(24,228)</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the Maturities of Investments</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32,840 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1,129 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Cash Used in Investing Activities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(95,237)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(49,628)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Repurchases</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(14,812)</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71,280 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77,986 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Finance Lease Obligations</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(4,277)</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(4,466)</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(10,122)</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(77,947)</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net</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(3,258)</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(1,456)</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Cash Provided by (Used in) Financing Activities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38,811 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(5,883)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Net Decrease in Cash, Cash Equivalents and Restricted Cash</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(8,565)</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(37,298)</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Cash--Beginning of the Period</w:t>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102,928 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317,785 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Cash, Cash Equivalents and Restricted Cash--End of the Period</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94,363 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280,487 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4"/>
              </w:rPr>
            </w:pPr>
            <w:r>
              <w:rPr>
                <w:rFonts w:ascii="Arial;sans-serif" w:hAnsi="Arial;sans-serif"/>
                <w:b/>
                <w:color w:val="000000"/>
                <w:sz w:val="14"/>
              </w:rPr>
              <w:t>Non-cash transactions:</w:t>
            </w:r>
          </w:p>
        </w:tc>
        <w:tc>
          <w:tcPr>
            <w:tcW w:w="11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Aircraft and Flight Equipment Acquired through Finance Leases</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19,928 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Changes to Finance Lease Assets due to Operating and Finance Lease Modifications</w:t>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46,311 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9174"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The following provides a reconciliation of Cash, Cash Equivalents and Restricted Cash to the amounts reported on the Condensed Consolidated Balance Sheets: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gridSpan w:val="6"/>
            <w:tcBorders/>
            <w:shd w:fill="auto" w:val="clea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2023</w:t>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71,587 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272,402 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22,776 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8,085 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Cash, Cash Equivalents and Restricted Cash</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94,363 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280,487 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Arial;sans-serif" w:hAnsi="Arial;sans-serif"/>
          <w:b w:val="false"/>
          <w:color w:val="000000"/>
          <w:sz w:val="14"/>
        </w:rPr>
      </w:pPr>
      <w:r>
        <w:rPr>
          <w:rFonts w:ascii="Arial;sans-serif" w:hAnsi="Arial;sans-serif"/>
          <w:b w:val="false"/>
          <w:color w:val="000000"/>
          <w:sz w:val="14"/>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1.    BASIS OF PRESENTATION</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prepared the unaudited Condensed Consolidated Financial Statements according to U.S. Generally Accepted Accounting Principles (“GAAP”) and has included the accounts of Sun Country Airlines Holdings, Inc. and its subsidiaries. Certain information and footnote disclosures normally included in the audited annual financial statements prepared in accordance with GAAP have been condensed or omitted pursuant to the rules and regulations of the U.S. Securities and Exchange Commission ("SEC") for Form 10-Q. Therefore, the accompanying Condensed Consolidated Financial Statements of Sun Country Airlines Holdings, Inc. should be read in conjunction with the Consolidated Financial Statements contained in the Company's Annual Report on Form 10-K for the year ended December 31, 2022 as filed with the SEC ("2022 10-K"). 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Due to impacts from seasonal variations in the demand for air travel, the volatility of aircraft fuel prices, uncertainties in pilot staffing, the impact of macroeconomic conditions including inflationary pressures, and other factors, operating results for the three months ended March 31, 2023 are not necessarily indicative of operating results for future quarters or for the year ending December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2.    CORONAVIRUS AID, RELIEF, AND ECONOMIC SECURITY ACT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twelve months ended June 30, 2022, the compensation payable to an executive officer temporarily exceeded the restrictions on the payment of certain executive compensation under the Coronavirus Aid, Relief, and Economic Security Act ("CARES Act"). Once the issue was identified, the executive officer voluntarily rescinded the unvested portion of the equity grant that caused the executive’s compensation to exceed the CARES Act limit. At no point did the executive's cash compensation and equity awards that could be monetized exceed the CARES Act limit. The Company did not accrue any amounts related to this matter as of March 31, 2023. To the extent we are deemed to have failed to remain in full compliance with the CARES Act and the applicable rules and regulations thereunder, we may become subject to fines or other enforcement actions.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3.    REVENUE</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passenger interface fees and on-board sales. Cargo consists of revenue earned from flying cargo aircraft for Amazon.com Services, Inc. (together with its affiliates, “Amazon”) under the Air Transportation Services Agreement (the “ATSA”). Other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consists primarily of revenue from services in connection with Sun Country Vacations products and revenue related to certain transactions where the Company acts as a lessor. The amounts included in Other revenue are not material to the Company's results at the individual or aggregate level.</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significant categories comprising Operating Revenues are as follows:</w:t>
      </w:r>
    </w:p>
    <w:tbl>
      <w:tblPr>
        <w:tblW w:w="5108" w:type="dxa"/>
        <w:jc w:val="left"/>
        <w:tblInd w:w="0" w:type="dxa"/>
        <w:tblCellMar>
          <w:top w:w="28" w:type="dxa"/>
          <w:left w:w="28" w:type="dxa"/>
          <w:bottom w:w="28" w:type="dxa"/>
          <w:right w:w="28" w:type="dxa"/>
        </w:tblCellMar>
      </w:tblPr>
      <w:tblGrid>
        <w:gridCol w:w="863"/>
        <w:gridCol w:w="759"/>
        <w:gridCol w:w="762"/>
        <w:gridCol w:w="211"/>
        <w:gridCol w:w="856"/>
        <w:gridCol w:w="109"/>
        <w:gridCol w:w="109"/>
        <w:gridCol w:w="109"/>
        <w:gridCol w:w="109"/>
        <w:gridCol w:w="211"/>
        <w:gridCol w:w="856"/>
        <w:gridCol w:w="154"/>
      </w:tblGrid>
      <w:tr>
        <w:trPr/>
        <w:tc>
          <w:tcPr>
            <w:tcW w:w="86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Charter Service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Passenger</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attributes and measures its Operating Revenues by geographic region as defined by the Department of Transportation ("DOT") for airline reporting based upon the origin of each passenger and cargo flight segment.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operations are highly concentrated in the U.S., but include service to many international locations, primarily based on scheduled service to Latin America during the winter season and on military charter services.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Total Operating Revenues by geographic region are as follows:</w:t>
      </w:r>
    </w:p>
    <w:tbl>
      <w:tblPr>
        <w:tblW w:w="5109" w:type="dxa"/>
        <w:jc w:val="left"/>
        <w:tblInd w:w="0" w:type="dxa"/>
        <w:tblCellMar>
          <w:top w:w="28" w:type="dxa"/>
          <w:left w:w="28" w:type="dxa"/>
          <w:bottom w:w="28" w:type="dxa"/>
          <w:right w:w="28" w:type="dxa"/>
        </w:tblCellMar>
      </w:tblPr>
      <w:tblGrid>
        <w:gridCol w:w="862"/>
        <w:gridCol w:w="759"/>
        <w:gridCol w:w="764"/>
        <w:gridCol w:w="211"/>
        <w:gridCol w:w="856"/>
        <w:gridCol w:w="109"/>
        <w:gridCol w:w="109"/>
        <w:gridCol w:w="109"/>
        <w:gridCol w:w="109"/>
        <w:gridCol w:w="211"/>
        <w:gridCol w:w="856"/>
        <w:gridCol w:w="154"/>
      </w:tblGrid>
      <w:tr>
        <w:trPr/>
        <w:tc>
          <w:tcPr>
            <w:tcW w:w="86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color w:val="000000"/>
          <w:sz w:val="20"/>
        </w:rPr>
      </w:pPr>
      <w:r>
        <w:rPr>
          <w:rFonts w:ascii="Arial;sans-serif" w:hAnsi="Arial;sans-serif"/>
          <w:b/>
          <w:color w:val="000000"/>
          <w:sz w:val="20"/>
        </w:rPr>
        <w:t>Contract Balances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contract assets primarily relate to costs incurred to get Amazon cargo aircraft ready for service. The balances are included in Other Current Assets and Other Assets on the Condensed Consolidated Balance Sheets.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Current Liabilities and Other Long-term Liabilities on the Condensed Consolidated Balance Sheets).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Contract Assets and Liabilities are as follows:</w:t>
      </w:r>
    </w:p>
    <w:tbl>
      <w:tblPr>
        <w:tblW w:w="6475" w:type="dxa"/>
        <w:jc w:val="left"/>
        <w:tblInd w:w="0" w:type="dxa"/>
        <w:tblCellMar>
          <w:top w:w="28" w:type="dxa"/>
          <w:left w:w="28" w:type="dxa"/>
          <w:bottom w:w="28" w:type="dxa"/>
          <w:right w:w="28" w:type="dxa"/>
        </w:tblCellMar>
      </w:tblPr>
      <w:tblGrid>
        <w:gridCol w:w="1183"/>
        <w:gridCol w:w="1042"/>
        <w:gridCol w:w="1044"/>
        <w:gridCol w:w="226"/>
        <w:gridCol w:w="917"/>
        <w:gridCol w:w="116"/>
        <w:gridCol w:w="109"/>
        <w:gridCol w:w="109"/>
        <w:gridCol w:w="109"/>
        <w:gridCol w:w="280"/>
        <w:gridCol w:w="1136"/>
        <w:gridCol w:w="204"/>
      </w:tblGrid>
      <w:tr>
        <w:trPr/>
        <w:tc>
          <w:tcPr>
            <w:tcW w:w="1183"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Contract 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to fulfill contract with Amazon</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Contract Liabilities</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 Traffic Liabilities</w:t>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141,613 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157,995 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Program Liabilities</w:t>
            </w:r>
          </w:p>
        </w:tc>
        <w:tc>
          <w:tcPr>
            <w:tcW w:w="11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15,437 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Amazon Deferred Up-front Payment</w:t>
            </w:r>
          </w:p>
        </w:tc>
        <w:tc>
          <w:tcPr>
            <w:tcW w:w="11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3,271 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Contract Liabilities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158,431 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176,703 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balance in the Air Traffic Liabilities fluctuates with seasonal travel patterns. Most tickets can be purchased no more than twelve months in advance, therefore any revenue associated with tickets sold for future travel will be recognized within that timeframe. For the three months ended March 31, 2023, $123,574 of revenue was recognized in Passenger revenue that was included in the Air Traffic Liabilities as of December 31, 2022.</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Loyalty Program</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Visa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Changes in the Loyalty Program Liabilities are as follows:</w:t>
      </w:r>
    </w:p>
    <w:tbl>
      <w:tblPr>
        <w:tblW w:w="5093" w:type="dxa"/>
        <w:jc w:val="left"/>
        <w:tblInd w:w="0" w:type="dxa"/>
        <w:tblCellMar>
          <w:top w:w="28" w:type="dxa"/>
          <w:left w:w="28" w:type="dxa"/>
          <w:bottom w:w="28" w:type="dxa"/>
          <w:right w:w="28" w:type="dxa"/>
        </w:tblCellMar>
      </w:tblPr>
      <w:tblGrid>
        <w:gridCol w:w="933"/>
        <w:gridCol w:w="822"/>
        <w:gridCol w:w="824"/>
        <w:gridCol w:w="211"/>
        <w:gridCol w:w="751"/>
        <w:gridCol w:w="109"/>
        <w:gridCol w:w="109"/>
        <w:gridCol w:w="109"/>
        <w:gridCol w:w="109"/>
        <w:gridCol w:w="211"/>
        <w:gridCol w:w="751"/>
        <w:gridCol w:w="154"/>
      </w:tblGrid>
      <w:tr>
        <w:trPr/>
        <w:tc>
          <w:tcPr>
            <w:tcW w:w="933"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Loyalty Points Earned</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Loyalty Points Redeemed </w:t>
            </w:r>
            <w:r>
              <w:rPr>
                <w:rFonts w:ascii="Arial;sans-serif" w:hAnsi="Arial;sans-serif"/>
                <w:b w:val="false"/>
                <w:color w:val="000000"/>
                <w:sz w:val="13"/>
              </w:rPr>
              <w:t>(1)</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______________________</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Loyalty points are combined in one homogenous pool, that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color w:val="000000"/>
          <w:sz w:val="20"/>
        </w:rPr>
      </w:pPr>
      <w:r>
        <w:rPr>
          <w:rFonts w:ascii="Arial;sans-serif" w:hAnsi="Arial;sans-serif"/>
          <w:b/>
          <w:color w:val="000000"/>
          <w:sz w:val="20"/>
        </w:rPr>
        <w:t>4.    EARNINGS PER SHARE</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shows the computation of basic and diluted earnings per share:</w:t>
      </w:r>
    </w:p>
    <w:tbl>
      <w:tblPr>
        <w:tblW w:w="7083" w:type="dxa"/>
        <w:jc w:val="left"/>
        <w:tblInd w:w="0" w:type="dxa"/>
        <w:tblCellMar>
          <w:top w:w="28" w:type="dxa"/>
          <w:left w:w="28" w:type="dxa"/>
          <w:bottom w:w="28" w:type="dxa"/>
          <w:right w:w="28" w:type="dxa"/>
        </w:tblCellMar>
      </w:tblPr>
      <w:tblGrid>
        <w:gridCol w:w="1598"/>
        <w:gridCol w:w="1409"/>
        <w:gridCol w:w="1417"/>
        <w:gridCol w:w="232"/>
        <w:gridCol w:w="767"/>
        <w:gridCol w:w="129"/>
        <w:gridCol w:w="129"/>
        <w:gridCol w:w="129"/>
        <w:gridCol w:w="129"/>
        <w:gridCol w:w="250"/>
        <w:gridCol w:w="711"/>
        <w:gridCol w:w="183"/>
      </w:tblGrid>
      <w:tr>
        <w:trPr/>
        <w:tc>
          <w:tcPr>
            <w:tcW w:w="1598"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c>
          <w:tcPr>
            <w:tcW w:w="1417"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Numerator:</w:t>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Net Income</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38,328 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Denominator:</w:t>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Weighted Average Common Shares Outstanding - Basic</w:t>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56,630,656 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57,907,655 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Arial;sans-serif" w:hAnsi="Arial;sans-serif"/>
                <w:b w:val="false"/>
                <w:color w:val="000000"/>
                <w:sz w:val="16"/>
              </w:rPr>
              <w:t xml:space="preserve">Dilutive effect of Stock Options, RSUs and Warrants </w:t>
            </w:r>
            <w:r>
              <w:rPr>
                <w:rFonts w:ascii="Arial;sans-serif" w:hAnsi="Arial;sans-serif"/>
                <w:b w:val="false"/>
                <w:color w:val="000000"/>
                <w:sz w:val="10"/>
              </w:rPr>
              <w:t>(1)</w:t>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2,904,389 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3,824,287 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16"/>
              </w:rPr>
              <w:t>Weighted Average Common Shares Outstanding - Diluted</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59,535,045 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61,731,942 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earnings per share</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earnings per share</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______________________</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There were 3,117,544 and 3,550,810 performance-based stock options outstanding at March 31, 2023 and 2022, respectively. As of March 31, 2023 and 2022, the Company expected approximately 64% and 75% of these options to vest, respectively. As of March 31, 2023, 43% of the eligible outstanding performance-based stock options have vested. These amounts are included in the measure above to the extent they are dilutive.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color w:val="000000"/>
          <w:sz w:val="20"/>
        </w:rPr>
      </w:pPr>
      <w:r>
        <w:rPr>
          <w:rFonts w:ascii="Arial;sans-serif" w:hAnsi="Arial;sans-serif"/>
          <w:b/>
          <w:color w:val="000000"/>
          <w:sz w:val="20"/>
        </w:rPr>
        <w:t>5. AIRCRAFT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2023, Sun Country's fleet consisted of 57 Boeing 737-NG aircraft, comprised of 53 Boeing 737-800s, three Boeing 737-900ERs and one Boeing 737-700.</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summarize the Company’s aircraft fleet activity for the three months ended March 31, 2023 and 2022, respectively:</w:t>
      </w:r>
    </w:p>
    <w:tbl>
      <w:tblPr>
        <w:tblW w:w="10205" w:type="dxa"/>
        <w:jc w:val="left"/>
        <w:tblInd w:w="0" w:type="dxa"/>
        <w:tblCellMar>
          <w:top w:w="28" w:type="dxa"/>
          <w:left w:w="28" w:type="dxa"/>
          <w:bottom w:w="28" w:type="dxa"/>
          <w:right w:w="28" w:type="dxa"/>
        </w:tblCellMar>
      </w:tblPr>
      <w:tblGrid>
        <w:gridCol w:w="1029"/>
        <w:gridCol w:w="903"/>
        <w:gridCol w:w="910"/>
        <w:gridCol w:w="515"/>
        <w:gridCol w:w="515"/>
        <w:gridCol w:w="517"/>
        <w:gridCol w:w="109"/>
        <w:gridCol w:w="109"/>
        <w:gridCol w:w="109"/>
        <w:gridCol w:w="295"/>
        <w:gridCol w:w="295"/>
        <w:gridCol w:w="296"/>
        <w:gridCol w:w="109"/>
        <w:gridCol w:w="109"/>
        <w:gridCol w:w="109"/>
        <w:gridCol w:w="485"/>
        <w:gridCol w:w="485"/>
        <w:gridCol w:w="486"/>
        <w:gridCol w:w="109"/>
        <w:gridCol w:w="109"/>
        <w:gridCol w:w="109"/>
        <w:gridCol w:w="295"/>
        <w:gridCol w:w="295"/>
        <w:gridCol w:w="296"/>
        <w:gridCol w:w="109"/>
        <w:gridCol w:w="109"/>
        <w:gridCol w:w="109"/>
        <w:gridCol w:w="374"/>
        <w:gridCol w:w="374"/>
        <w:gridCol w:w="532"/>
      </w:tblGrid>
      <w:tr>
        <w:trPr/>
        <w:tc>
          <w:tcPr>
            <w:tcW w:w="102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2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Arial;sans-serif" w:hAnsi="Arial;sans-serif"/>
                <w:b/>
                <w:color w:val="000000"/>
                <w:sz w:val="16"/>
              </w:rPr>
            </w:pPr>
            <w:r>
              <w:rPr>
                <w:rFonts w:ascii="Arial;sans-serif" w:hAnsi="Arial;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6"/>
              </w:rPr>
            </w:pPr>
            <w:r>
              <w:rPr>
                <w:rFonts w:ascii="Arial;sans-serif" w:hAnsi="Arial;sans-serif"/>
                <w:b/>
                <w:color w:val="000000"/>
                <w:sz w:val="16"/>
              </w:rPr>
              <w:t>Reclassifications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6"/>
              </w:rPr>
            </w:pPr>
            <w:r>
              <w:rPr>
                <w:rFonts w:ascii="Arial;sans-serif" w:hAnsi="Arial;sans-serif"/>
                <w:b/>
                <w:color w:val="000000"/>
                <w:sz w:val="16"/>
              </w:rPr>
              <w:t>Removals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Arial;sans-serif" w:hAnsi="Arial;sans-serif"/>
                <w:b/>
                <w:color w:val="000000"/>
                <w:sz w:val="16"/>
              </w:rPr>
            </w:pPr>
            <w:r>
              <w:rPr>
                <w:rFonts w:ascii="Arial;sans-serif" w:hAnsi="Arial;sans-serif"/>
                <w:b/>
                <w:color w:val="000000"/>
                <w:sz w:val="16"/>
              </w:rPr>
              <w:t>March 31, 2023</w:t>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1547"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154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0"/>
              <w:rPr/>
            </w:pPr>
            <w:r>
              <w:rPr/>
            </w:r>
          </w:p>
        </w:tc>
        <w:tc>
          <w:tcPr>
            <w:tcW w:w="1280"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w:t>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Finance leases </w:t>
            </w:r>
          </w:p>
        </w:tc>
        <w:tc>
          <w:tcPr>
            <w:tcW w:w="154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1547"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Sun Country Airlines’ Fleet</w:t>
            </w:r>
          </w:p>
        </w:tc>
        <w:tc>
          <w:tcPr>
            <w:tcW w:w="1547"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w:t>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Aircraft Operated for Amazon</w:t>
            </w:r>
          </w:p>
        </w:tc>
        <w:tc>
          <w:tcPr>
            <w:tcW w:w="154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owned:</w:t>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w:t>
            </w:r>
          </w:p>
        </w:tc>
        <w:tc>
          <w:tcPr>
            <w:tcW w:w="154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Total Aircraft </w:t>
            </w:r>
          </w:p>
        </w:tc>
        <w:tc>
          <w:tcPr>
            <w:tcW w:w="15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w:t>
            </w:r>
          </w:p>
        </w:tc>
      </w:tr>
      <w:tr>
        <w:trPr/>
        <w:tc>
          <w:tcPr>
            <w:tcW w:w="2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6"/>
              </w:rPr>
            </w:pPr>
            <w:r>
              <w:rPr>
                <w:rFonts w:ascii="Arial;sans-serif" w:hAnsi="Arial;sans-serif"/>
                <w:b/>
                <w:color w:val="000000"/>
                <w:sz w:val="16"/>
              </w:rPr>
              <w:t>Reclassifications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Removals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2022</w:t>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w:t>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Airlines’ Fleet</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Operated for Amazon</w:t>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Aircraft </w:t>
            </w:r>
          </w:p>
        </w:tc>
        <w:tc>
          <w:tcPr>
            <w:tcW w:w="10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Arial;sans-serif" w:hAnsi="Arial;sans-serif"/>
          <w:b w:val="false"/>
          <w:color w:val="000000"/>
          <w:sz w:val="20"/>
        </w:rPr>
        <w:t xml:space="preserve">During the three months ended March 31, 2023, the Company entered into an agreement to acquire five 737-900ERs that are currently on lease to an unaffiliated airline ("Aircraft Held for Operating Lease"). As of March 31, 2023, three of the Aircraft Held for Operating Lease had been acquired. Subsequent to March 31, 2023, the transaction was completed resulting in the acquisition of the two remaining Aircraft Held for Operating Lease. The five Aircraft Held for Operating Lease were financed through a term loan arrangement. See </w:t>
      </w:r>
      <w:hyperlink w:anchor="i2b162e4fbd8a45798bfaba84fde8af40_678">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of these Condensed Consolidated Financial Statements for more information on this transaction. As of March 31, 2023, 29 of the owned aircraft and Aircraft Held for Operating Lease were financed and three aircraft were unencumbered.</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2022, the Company executed lease amendments to purchase two aircraft at the end of the lease term, which modified the lease classification from operating leases to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finance leases with expiration dates in fiscal year 2026. The Company also acquired two incremental 737-800 aircraft, one of which was financed using proceeds from the issuance of Class A and Class B pass-through trust certificates (the "2022-1 EETC") and another through a finance lease arrangement that is set to expire in fiscal year 2030.</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Depreciation, amortization, and rent expense on aircraft are as follows:</w:t>
      </w:r>
    </w:p>
    <w:tbl>
      <w:tblPr>
        <w:tblW w:w="6319" w:type="dxa"/>
        <w:jc w:val="left"/>
        <w:tblInd w:w="0" w:type="dxa"/>
        <w:tblCellMar>
          <w:top w:w="28" w:type="dxa"/>
          <w:left w:w="28" w:type="dxa"/>
          <w:bottom w:w="28" w:type="dxa"/>
          <w:right w:w="28" w:type="dxa"/>
        </w:tblCellMar>
      </w:tblPr>
      <w:tblGrid>
        <w:gridCol w:w="596"/>
        <w:gridCol w:w="526"/>
        <w:gridCol w:w="528"/>
        <w:gridCol w:w="109"/>
        <w:gridCol w:w="109"/>
        <w:gridCol w:w="109"/>
        <w:gridCol w:w="474"/>
        <w:gridCol w:w="474"/>
        <w:gridCol w:w="476"/>
        <w:gridCol w:w="109"/>
        <w:gridCol w:w="109"/>
        <w:gridCol w:w="109"/>
        <w:gridCol w:w="217"/>
        <w:gridCol w:w="775"/>
        <w:gridCol w:w="112"/>
        <w:gridCol w:w="112"/>
        <w:gridCol w:w="112"/>
        <w:gridCol w:w="112"/>
        <w:gridCol w:w="217"/>
        <w:gridCol w:w="775"/>
        <w:gridCol w:w="159"/>
      </w:tblGrid>
      <w:tr>
        <w:trPr/>
        <w:tc>
          <w:tcPr>
            <w:tcW w:w="59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Aircraft Status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Expense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Aircraft Rent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041" w:type="dxa"/>
        <w:jc w:val="left"/>
        <w:tblInd w:w="0" w:type="dxa"/>
        <w:tblCellMar>
          <w:top w:w="28" w:type="dxa"/>
          <w:left w:w="28" w:type="dxa"/>
          <w:bottom w:w="28" w:type="dxa"/>
          <w:right w:w="28" w:type="dxa"/>
        </w:tblCellMar>
      </w:tblPr>
      <w:tblGrid>
        <w:gridCol w:w="124"/>
        <w:gridCol w:w="109"/>
        <w:gridCol w:w="109"/>
        <w:gridCol w:w="2541"/>
        <w:gridCol w:w="2541"/>
        <w:gridCol w:w="36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1" w:type="dxa"/>
            <w:tcBorders/>
            <w:shd w:fill="auto" w:val="clear"/>
            <w:vAlign w:val="center"/>
          </w:tcPr>
          <w:p>
            <w:pPr>
              <w:pStyle w:val="TableContents"/>
              <w:spacing w:before="0" w:after="283"/>
              <w:rPr>
                <w:sz w:val="4"/>
                <w:szCs w:val="4"/>
              </w:rPr>
            </w:pPr>
            <w:r>
              <w:rPr>
                <w:sz w:val="4"/>
                <w:szCs w:val="4"/>
              </w:rPr>
            </w:r>
          </w:p>
        </w:tc>
        <w:tc>
          <w:tcPr>
            <w:tcW w:w="2541" w:type="dxa"/>
            <w:tcBorders/>
            <w:shd w:fill="auto" w:val="clear"/>
            <w:vAlign w:val="center"/>
          </w:tcPr>
          <w:p>
            <w:pPr>
              <w:pStyle w:val="TableContents"/>
              <w:spacing w:before="0" w:after="283"/>
              <w:rPr>
                <w:sz w:val="4"/>
                <w:szCs w:val="4"/>
              </w:rPr>
            </w:pPr>
            <w:r>
              <w:rPr>
                <w:sz w:val="4"/>
                <w:szCs w:val="4"/>
              </w:rPr>
            </w:r>
          </w:p>
        </w:tc>
        <w:tc>
          <w:tcPr>
            <w:tcW w:w="36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869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Arial;sans-serif" w:hAnsi="Arial;sans-serif"/>
                <w:b w:val="false"/>
                <w:color w:val="000000"/>
                <w:sz w:val="16"/>
              </w:rPr>
            </w:pPr>
            <w:r>
              <w:rPr>
                <w:rFonts w:ascii="Arial;sans-serif" w:hAnsi="Arial;sans-serif"/>
                <w:b w:val="false"/>
                <w:color w:val="000000"/>
                <w:sz w:val="16"/>
              </w:rPr>
              <w:t>Aircraft Rent expense includes credits for the amortization of over-market liabilities established at the Acquisition Date.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6. ASSET ACQUISITIONS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2023, the Company entered into an agreement to acquire five Aircraft Held for Operating Lease for approximately $158,000. On March 29, 2023, the Company acquired three of the Aircraft Held for Operating Lease. The table below reflects the cumulative balances recognized upon acquisition of the three aircraft on March 29, 2023: </w:t>
      </w:r>
    </w:p>
    <w:p>
      <w:pPr>
        <w:pStyle w:val="TextBody"/>
        <w:spacing w:before="0" w:after="0"/>
        <w:rPr/>
      </w:pPr>
      <w:r>
        <w:rPr/>
      </w:r>
    </w:p>
    <w:tbl>
      <w:tblPr>
        <w:tblW w:w="9598" w:type="dxa"/>
        <w:jc w:val="left"/>
        <w:tblInd w:w="0" w:type="dxa"/>
        <w:tblCellMar>
          <w:top w:w="28" w:type="dxa"/>
          <w:left w:w="28" w:type="dxa"/>
          <w:bottom w:w="28" w:type="dxa"/>
          <w:right w:w="28" w:type="dxa"/>
        </w:tblCellMar>
      </w:tblPr>
      <w:tblGrid>
        <w:gridCol w:w="1075"/>
        <w:gridCol w:w="939"/>
        <w:gridCol w:w="955"/>
        <w:gridCol w:w="109"/>
        <w:gridCol w:w="109"/>
        <w:gridCol w:w="109"/>
        <w:gridCol w:w="1618"/>
        <w:gridCol w:w="1618"/>
        <w:gridCol w:w="1623"/>
        <w:gridCol w:w="109"/>
        <w:gridCol w:w="109"/>
        <w:gridCol w:w="109"/>
        <w:gridCol w:w="211"/>
        <w:gridCol w:w="751"/>
        <w:gridCol w:w="154"/>
      </w:tblGrid>
      <w:tr>
        <w:trPr/>
        <w:tc>
          <w:tcPr>
            <w:tcW w:w="1075"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Asset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Arial;sans-serif" w:hAnsi="Arial;sans-serif"/>
                <w:b/>
                <w:color w:val="000000"/>
                <w:sz w:val="16"/>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Held for Operating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Rights Asset</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and Flight Equipment Held for Operating Lease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Over-Market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purchase price was assigned to the assets based upon their relative fair values as of the acquisition date. The Company estimated the fair value of the Aircraft Held for Operating Lease principally based on market appraisals. The appraisals were based on an analysis of the economic conditions impacting both the airline industry and broader economy, the current fuel price environment, aircraft order data, passenger traffic levels, and qualitative and quantitative characteristics impacting the value of the acquired aircraft.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fair value of the Maintenance Rights Asset was determined using a discounted cash flow method based on aircraft utilization levels at the time of the acquisition and the applicable rates as specified within the lease agreements.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the Over-Market Asset was determined using a discounted cash flow model that involves the comparison of contractual lease cash flows to the estimated at-market lease payments for an aircraft of the same type and age.</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On April 4, 2023, the Company completed the transaction resulting in the acquisition of the two additional Aircraft Held for Operating Lease for the remaining consideration of approximately $63,000. The acquisition cost of the aircraft will be allocated between Aircraft Held for Operating Lease, Maintenance Rights, and Over-Market Assets on a relative fair value basis.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2023, the Company's restricted cash balance also included $13,103 that was deposited in relation to the purchase of the two remaining Aircraft Held for Operating Lease. Upon acquisition, the deposited amounts were remitted to the seller. </w:t>
      </w:r>
    </w:p>
    <w:p>
      <w:pPr>
        <w:pStyle w:val="TextBody"/>
        <w:spacing w:lineRule="auto" w:line="288" w:before="240" w:after="283"/>
        <w:jc w:val="both"/>
        <w:rPr/>
      </w:pPr>
      <w:r>
        <w:rPr>
          <w:rFonts w:ascii="Arial;sans-serif" w:hAnsi="Arial;sans-serif"/>
          <w:b w:val="false"/>
          <w:color w:val="000000"/>
          <w:sz w:val="20"/>
        </w:rPr>
        <w:t xml:space="preserve">The purchase of the Aircraft Held for Operating Lease was financed primarily using the proceeds from a term loan credit facility with a face amount of $119,200 and the Company's cash. As of March 31, 2023, $71,280 of the term loan credit facility was outstanding with respect to three Aircraft Held for Operating Lease acquired during the three months ended March 31, 2023. The remaining $47,920 of financing available under the term loan credit facility was drawn on April 4, 2023 related to the purchase of the two remaining Aircraft Held for Operating Lease. For more information on the term loan credit facility, see </w:t>
      </w:r>
      <w:hyperlink w:anchor="i2b162e4fbd8a45798bfaba84fde8af40_52">
        <w:r>
          <w:rPr>
            <w:rStyle w:val="InternetLink"/>
            <w:rFonts w:ascii="Arial;sans-serif" w:hAnsi="Arial;sans-serif"/>
            <w:b w:val="false"/>
            <w:color w:val="0000FF"/>
            <w:sz w:val="20"/>
            <w:u w:val="single"/>
          </w:rPr>
          <w:t>Note 7</w:t>
        </w:r>
      </w:hyperlink>
      <w:r>
        <w:rPr>
          <w:color w:val="000000"/>
        </w:rPr>
        <w:t xml:space="preserve"> </w:t>
      </w:r>
      <w:r>
        <w:rPr>
          <w:rFonts w:ascii="Arial;sans-serif" w:hAnsi="Arial;sans-serif"/>
          <w:b w:val="false"/>
          <w:color w:val="000000"/>
          <w:sz w:val="20"/>
        </w:rPr>
        <w:t>of these Condensed Consolidated Financial Statements.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Aircraft Held for Operating Lease</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obtained outright ownership of the Aircraft Held for Operating Lease upon purchase and assumed the position of lessor until the end of the lease terms. The Company is entitled to fixed payments over the remaining lease term for each aircraft, which expire at various dates between the fourth quarter of 2024 and the fourth quarter of 2025. On each lease expiry date, the Aircraft Held for Operating Lease will be redelivered to Sun Country and is expected to be inducted into the Company’s fleet. The rental revenue associated with the Aircraft Held for Operating Lease is recognized as it is earned and is included in Other revenue. The rental revenue was not material to the Company's results of operations for the three months ended March 31, 2023. </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Maintenance Rights Asset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Upon purchase of the Aircraft Held for Operating Lease, the Company recognized a Maintenance Rights Asset which represents the Company’s contractual right to receive the aircraft in a specified maintenance condition at the end of the lease. The acquired leases contain an end of lease compensation clause whereby the lessee is required to remit a cash payment as a means to true-up the aircraft’s maintenance condition to full-life or perform the maintenance tasks needed to physically restore the airframe and engines to such a condition. The asset represents the difference between the Aircraft Held for Operating Lease’s physical maintenance condition as of the purchase date and the contractual return condition at the end of the lease term. The Maintenance Rights Asset is not depreciated over the lease term, nor will it accrete as additional life is consumed on the aircraft. </w:t>
      </w:r>
    </w:p>
    <w:p>
      <w:pPr>
        <w:pStyle w:val="TextBody"/>
        <w:spacing w:lineRule="auto" w:line="256" w:before="240" w:after="283"/>
        <w:jc w:val="both"/>
        <w:rPr>
          <w:rFonts w:ascii="Arial;sans-serif" w:hAnsi="Arial;sans-serif"/>
          <w:b/>
          <w:color w:val="000000"/>
          <w:sz w:val="20"/>
        </w:rPr>
      </w:pPr>
      <w:r>
        <w:rPr>
          <w:rFonts w:ascii="Arial;sans-serif" w:hAnsi="Arial;sans-serif"/>
          <w:b/>
          <w:color w:val="000000"/>
          <w:sz w:val="20"/>
        </w:rPr>
        <w:t>Over-Market Asset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Upon purchase of the Aircraft Held for Operating Lease, the Company recognized an intangible asset representing lease terms which are favorable to the lessor (unfavorable to the lessee) as compared with market terms of similar leases. The asset will be amortized over the remaining lease terms for the respective aircrafts, which ranges from approximately 1.7-2.7 years. The amortization will be recognized as a contra-revenue, offsetting the rental revenue associated with the Aircraft Held for Operating Lease included in Other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7.    DEBT</w:t>
      </w:r>
    </w:p>
    <w:p>
      <w:pPr>
        <w:pStyle w:val="TextBody"/>
        <w:spacing w:lineRule="auto" w:line="288" w:before="240" w:after="283"/>
        <w:jc w:val="both"/>
        <w:rPr/>
      </w:pPr>
      <w:r>
        <w:rPr>
          <w:rFonts w:ascii="Arial;sans-serif" w:hAnsi="Arial;sans-serif"/>
          <w:b/>
          <w:color w:val="000000"/>
          <w:sz w:val="20"/>
        </w:rPr>
        <w:t>Credit</w:t>
      </w:r>
      <w:r>
        <w:rPr>
          <w:color w:val="000000"/>
        </w:rPr>
        <w:t xml:space="preserve"> </w:t>
      </w:r>
      <w:r>
        <w:rPr>
          <w:rFonts w:ascii="Arial;sans-serif" w:hAnsi="Arial;sans-serif"/>
          <w:b/>
          <w:color w:val="000000"/>
          <w:sz w:val="20"/>
        </w:rPr>
        <w:t>Facilities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February 10, 2021, the Company executed a five-year credit agreement (the “Credit Agreement”) with a group of lenders. The Credit Agreement includes a $25,000 Revolving Credit Facility (the "Revolving Credit Facility") and a $90,000 Delayed Draw Term Loan Facility (“DDTL”), which are collectively referred to as the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color w:val="000000"/>
        </w:rPr>
      </w:pPr>
      <w:r>
        <w:rPr>
          <w:color w:val="000000"/>
        </w:rPr>
        <w:t>“</w:t>
      </w:r>
      <w:r>
        <w:rPr>
          <w:rFonts w:ascii="Arial;sans-serif" w:hAnsi="Arial;sans-serif"/>
          <w:b w:val="false"/>
          <w:color w:val="000000"/>
          <w:sz w:val="20"/>
        </w:rPr>
        <w:t>Credit Facilities.” The proceeds from the Revolving Credit Facility can be used for general corporate purposes, whereas the proceeds from the DDTL were to be used solely to finance the acquisition of aircraft or engines to be registered in the United States. The Credit Agreement includes financial covenants that require a minimum trailing 12-month EBITDAR ($87,700 as of March 31, 2022 and beyond) and minimum liquidity of $30,000 at the close of any business day. The Company was in compliance with these covenants as of March 31, 2023.</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2021, the Company drew $80,500 on the DDTL to purchase six aircraft, which were previously under operating leases. During 2022, the Company repaid the outstanding balance of the DDTL in full using proceeds received from the 2022-1 EETC, which terminated the DDTL. As a result, no amounts under the DDTL were available to the Company as of March 31, 2023. The Company recorded a $1,557 loss on extinguishment of debt during the three months ended March 31, 2022 in connection with the repayment of the DDTL, which represents the write-off of the unamortized deferred financing costs. As of March 31, 2023, the Company had $24,650 of financing available through the Revolving Credit Facility, as $350 had been pledged to support a letter of credit. </w:t>
      </w:r>
    </w:p>
    <w:p>
      <w:pPr>
        <w:pStyle w:val="TextBody"/>
        <w:spacing w:lineRule="auto" w:line="288" w:before="240" w:after="283"/>
        <w:jc w:val="both"/>
        <w:rPr/>
      </w:pPr>
      <w:r>
        <w:rPr>
          <w:rFonts w:ascii="Arial;sans-serif" w:hAnsi="Arial;sans-serif"/>
          <w:b/>
          <w:color w:val="000000"/>
          <w:sz w:val="20"/>
        </w:rPr>
        <w:t>Long-term Debt</w:t>
      </w:r>
      <w:r>
        <w:rPr>
          <w:color w:val="000000"/>
        </w:rPr>
        <w:t xml:space="preserve"> </w:t>
      </w:r>
    </w:p>
    <w:p>
      <w:pPr>
        <w:pStyle w:val="TextBody"/>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Term Loan Credit Facility</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2023, the Company executed a term loan credit facility with a face amount of $119,200 for the purpose of financing the five Aircraft Held for Operating Lease. The loan is to be repaid monthly over 7 years. During the lease term, payments collected from the lessee will be applied directly to the repayment of principal and interest on the term loan credit facility. The Aircraft Held for Operating Lease, as well as the related lease payments received from the lessee, are pledged as collateral. During the three months ended March 31, 2023, the Company received gross proceeds of $71,280 with respect to three of the Aircraft Held for Operating Lease. An incremental $47,920 of gross proceeds were received subsequent to March 31, 2023 upon the completion of the transaction resulting in the acquisition of two additional Aircraft Held for Operating Lease. During the three months ended March 31, 2023, the Company recorded $1,388 in debt issuance costs associated with the term loan credit facility.</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at the end of the lease term and a Loan-to-Value ("LTV") ratio calculation is completed. The interest rate in effect as of March 31, 2023 on the term loan was 8.6%. To the extent that the LTV exceeds 75%, a principal prepayment will be required in order to reduce the ratio to 75%. Amounts received under the end of lease maintenance compensation clause may be applied towards the LTV payment. </w:t>
      </w:r>
    </w:p>
    <w:p>
      <w:pPr>
        <w:pStyle w:val="TextBody"/>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Pass-Through Trust Certificates</w:t>
      </w:r>
    </w:p>
    <w:p>
      <w:pPr>
        <w:pStyle w:val="TextBody"/>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In March 2022, the Company arranged for the issuance of the 2022-1 EETC in an aggregate face amount of $188,277 for the purpose of financing or refinancing 13 aircraft.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December 2019, the Company arranged for the issuance of Class A, Class B and Class C trust certificates Series 2019-1 (the “2019-1 EETC”), in an aggregate face amount of $248,587 for the purpose of financing or refinancing 13 used aircraft, which was completed in 2020.</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Long-term Debt includes the following:</w:t>
      </w:r>
    </w:p>
    <w:tbl>
      <w:tblPr>
        <w:tblW w:w="10205" w:type="dxa"/>
        <w:jc w:val="left"/>
        <w:tblInd w:w="0" w:type="dxa"/>
        <w:tblCellMar>
          <w:top w:w="28" w:type="dxa"/>
          <w:left w:w="28" w:type="dxa"/>
          <w:bottom w:w="28" w:type="dxa"/>
          <w:right w:w="28" w:type="dxa"/>
        </w:tblCellMar>
      </w:tblPr>
      <w:tblGrid>
        <w:gridCol w:w="2673"/>
        <w:gridCol w:w="2349"/>
        <w:gridCol w:w="2355"/>
        <w:gridCol w:w="214"/>
        <w:gridCol w:w="868"/>
        <w:gridCol w:w="110"/>
        <w:gridCol w:w="109"/>
        <w:gridCol w:w="109"/>
        <w:gridCol w:w="109"/>
        <w:gridCol w:w="225"/>
        <w:gridCol w:w="914"/>
        <w:gridCol w:w="170"/>
      </w:tblGrid>
      <w:tr>
        <w:trPr/>
        <w:tc>
          <w:tcPr>
            <w:tcW w:w="2673"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235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73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payable under the Company's 2019-1 EETC agreement dated December 2019, with original loan amounts of $248,587 payable in bi-annual installments, in June and December, through December 2027. These notes bear interest at an annual rate between 4.13% and 6.95% and the weighted average interest rate is 4.73% as of March 31, 2023.</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Notes payable under the Company's 2022-1 EETC agreement dated March 2022, with a face amount of $188,277 payable in bi-annual installments, in March and September, through March 2031. These notes bear interest at an annual rate between 4.84% and 5.75% and the weighted average interest rate is 5.06% as of March 31, 2023.</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168,897 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179,019 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 Credit Facility (see terms and conditions on pg 16)</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71,280 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Arial;sans-serif" w:hAnsi="Arial;sans-serif"/>
                <w:b w:val="false"/>
                <w:color w:val="000000"/>
                <w:sz w:val="20"/>
              </w:rPr>
              <w:t>Total Debt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416,874 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355,716 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Maturities of Long-term Debt</w:t>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(66,194)</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(57,548)</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 net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346,065 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294,687 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Future maturities of the outstanding Debt are as follows:</w:t>
      </w:r>
    </w:p>
    <w:tbl>
      <w:tblPr>
        <w:tblW w:w="7319" w:type="dxa"/>
        <w:jc w:val="left"/>
        <w:tblInd w:w="0" w:type="dxa"/>
        <w:tblCellMar>
          <w:top w:w="28" w:type="dxa"/>
          <w:left w:w="28" w:type="dxa"/>
          <w:bottom w:w="28" w:type="dxa"/>
          <w:right w:w="28" w:type="dxa"/>
        </w:tblCellMar>
      </w:tblPr>
      <w:tblGrid>
        <w:gridCol w:w="891"/>
        <w:gridCol w:w="782"/>
        <w:gridCol w:w="786"/>
        <w:gridCol w:w="218"/>
        <w:gridCol w:w="885"/>
        <w:gridCol w:w="112"/>
        <w:gridCol w:w="109"/>
        <w:gridCol w:w="109"/>
        <w:gridCol w:w="109"/>
        <w:gridCol w:w="386"/>
        <w:gridCol w:w="1184"/>
        <w:gridCol w:w="200"/>
        <w:gridCol w:w="109"/>
        <w:gridCol w:w="109"/>
        <w:gridCol w:w="109"/>
        <w:gridCol w:w="211"/>
        <w:gridCol w:w="856"/>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Debt Principal</w:t>
              <w:br/>
              <w:t>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Amortization of Debt</w:t>
              <w:br/>
              <w:t>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Net Debt</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Remainder of 2023</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69,623 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74,216 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55,142 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58,280 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104,588 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 of March 31, 2023</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416,874 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412,259 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Debt was $390,948 as of March 31, 2023 and $324,059 as of December 31, 2022. The fair value of the Company’s debt was based on the discounted amount of future cash flows using the Company’s end-of-period estimated incremental borrowing rate for similar obligations. The estimates were primarily based on Level 3 inputs.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color w:val="000000"/>
          <w:sz w:val="20"/>
        </w:rPr>
      </w:pPr>
      <w:r>
        <w:rPr>
          <w:rFonts w:ascii="Arial;sans-serif" w:hAnsi="Arial;sans-serif"/>
          <w:b/>
          <w:color w:val="000000"/>
          <w:sz w:val="20"/>
        </w:rPr>
        <w:t>8. INVESTMENTS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A summary of debt securities by major security type:</w:t>
      </w:r>
    </w:p>
    <w:tbl>
      <w:tblPr>
        <w:tblW w:w="10205" w:type="dxa"/>
        <w:jc w:val="left"/>
        <w:tblInd w:w="0" w:type="dxa"/>
        <w:tblCellMar>
          <w:top w:w="28" w:type="dxa"/>
          <w:left w:w="28" w:type="dxa"/>
          <w:bottom w:w="28" w:type="dxa"/>
          <w:right w:w="28" w:type="dxa"/>
        </w:tblCellMar>
      </w:tblPr>
      <w:tblGrid>
        <w:gridCol w:w="1063"/>
        <w:gridCol w:w="935"/>
        <w:gridCol w:w="936"/>
        <w:gridCol w:w="235"/>
        <w:gridCol w:w="955"/>
        <w:gridCol w:w="121"/>
        <w:gridCol w:w="109"/>
        <w:gridCol w:w="109"/>
        <w:gridCol w:w="109"/>
        <w:gridCol w:w="531"/>
        <w:gridCol w:w="950"/>
        <w:gridCol w:w="277"/>
        <w:gridCol w:w="109"/>
        <w:gridCol w:w="109"/>
        <w:gridCol w:w="109"/>
        <w:gridCol w:w="484"/>
        <w:gridCol w:w="1105"/>
        <w:gridCol w:w="250"/>
        <w:gridCol w:w="109"/>
        <w:gridCol w:w="109"/>
        <w:gridCol w:w="109"/>
        <w:gridCol w:w="211"/>
        <w:gridCol w:w="856"/>
        <w:gridCol w:w="315"/>
      </w:tblGrid>
      <w:tr>
        <w:trPr/>
        <w:tc>
          <w:tcPr>
            <w:tcW w:w="106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r>
      <w:tr>
        <w:trPr/>
        <w:tc>
          <w:tcPr>
            <w:tcW w:w="2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1"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6"/>
              </w:rPr>
            </w:pPr>
            <w:r>
              <w:rPr>
                <w:rFonts w:ascii="Arial;sans-serif" w:hAnsi="Arial;sans-serif"/>
                <w:b/>
                <w:color w:val="000000"/>
                <w:sz w:val="16"/>
              </w:rPr>
              <w:t>March 31, 2023</w:t>
            </w:r>
          </w:p>
        </w:tc>
      </w:tr>
      <w:tr>
        <w:trPr/>
        <w:tc>
          <w:tcPr>
            <w:tcW w:w="2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Available-for-Sale Securities: </w:t>
            </w:r>
            <w:r>
              <w:rPr>
                <w:rFonts w:ascii="Arial;sans-serif" w:hAnsi="Arial;sans-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27,474 </w:t>
            </w:r>
          </w:p>
        </w:tc>
        <w:tc>
          <w:tcPr>
            <w:tcW w:w="315" w:type="dxa"/>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89,045 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88,659 </w:t>
            </w:r>
          </w:p>
        </w:tc>
        <w:tc>
          <w:tcPr>
            <w:tcW w:w="315"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49,174 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49,144 </w:t>
            </w:r>
          </w:p>
        </w:tc>
        <w:tc>
          <w:tcPr>
            <w:tcW w:w="315"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9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165,820 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165,277 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062"/>
        <w:gridCol w:w="934"/>
        <w:gridCol w:w="935"/>
        <w:gridCol w:w="235"/>
        <w:gridCol w:w="955"/>
        <w:gridCol w:w="121"/>
        <w:gridCol w:w="109"/>
        <w:gridCol w:w="109"/>
        <w:gridCol w:w="109"/>
        <w:gridCol w:w="530"/>
        <w:gridCol w:w="949"/>
        <w:gridCol w:w="276"/>
        <w:gridCol w:w="109"/>
        <w:gridCol w:w="109"/>
        <w:gridCol w:w="109"/>
        <w:gridCol w:w="381"/>
        <w:gridCol w:w="1265"/>
        <w:gridCol w:w="196"/>
        <w:gridCol w:w="109"/>
        <w:gridCol w:w="109"/>
        <w:gridCol w:w="109"/>
        <w:gridCol w:w="211"/>
        <w:gridCol w:w="856"/>
        <w:gridCol w:w="318"/>
      </w:tblGrid>
      <w:tr>
        <w:trPr/>
        <w:tc>
          <w:tcPr>
            <w:tcW w:w="1062"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2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2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Available-for-Sale Securities: </w:t>
            </w:r>
            <w:r>
              <w:rPr>
                <w:rFonts w:ascii="Arial;sans-serif" w:hAnsi="Arial;sans-serif"/>
                <w:b w:val="false"/>
                <w:color w:val="000000"/>
                <w:sz w:val="13"/>
              </w:rPr>
              <w:t>(1)</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47,897 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318" w:type="dxa"/>
            <w:tcBorders/>
            <w:shd w:fill="FFFF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93,460 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318" w:type="dxa"/>
            <w:tcBorders/>
            <w:shd w:fill="CCEEFF" w:val="clear"/>
            <w:tcMar>
              <w:top w:w="0" w:type="dxa"/>
              <w:left w:w="0" w:type="dxa"/>
              <w:bottom w:w="0" w:type="dxa"/>
              <w:right w:w="0" w:type="dxa"/>
            </w:tcMar>
            <w:vAlign w:val="center"/>
          </w:tcPr>
          <w:p>
            <w:pPr>
              <w:pStyle w:val="TableContents"/>
              <w:spacing w:before="0" w:after="283"/>
              <w:ind w:left="0" w:right="0" w:firstLine="90"/>
              <w:rPr>
                <w:sz w:val="4"/>
                <w:szCs w:val="4"/>
              </w:rPr>
            </w:pPr>
            <w:r>
              <w:rPr>
                <w:sz w:val="4"/>
                <w:szCs w:val="4"/>
              </w:rPr>
            </w:r>
          </w:p>
        </w:tc>
      </w:tr>
      <w:tr>
        <w:trPr/>
        <w:tc>
          <w:tcPr>
            <w:tcW w:w="2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32,326 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318"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29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173,683 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The Company also holds Certificates of Deposit that are included in Investments on the Condensed Consolidated Balance Sheets totaling $6,361 and $6,301 as of March 31, 2023 and December 31, 2022, respectively. </w:t>
            </w:r>
          </w:p>
        </w:tc>
      </w:tr>
    </w:tbl>
    <w:p>
      <w:pPr>
        <w:pStyle w:val="TextBody"/>
        <w:spacing w:lineRule="auto" w:line="268" w:before="240" w:after="283"/>
        <w:ind w:left="0" w:right="0" w:firstLine="360"/>
        <w:jc w:val="both"/>
        <w:rPr>
          <w:rFonts w:ascii="Arial;sans-serif" w:hAnsi="Arial;sans-serif"/>
          <w:b w:val="false"/>
          <w:color w:val="000000"/>
          <w:sz w:val="20"/>
        </w:rPr>
      </w:pPr>
      <w:r>
        <w:rPr>
          <w:rFonts w:ascii="Arial;sans-serif" w:hAnsi="Arial;sans-serif"/>
          <w:b w:val="false"/>
          <w:color w:val="000000"/>
          <w:sz w:val="20"/>
        </w:rPr>
        <w:t>As of March 31, 2023, the Company's investments that have unrealized losses have been in a continuous unrealized loss position for less than 12 months. The unrealized losses were the result of increases in market interest rates and were not the result of a deterioration in the credit quality of the securities. As of March 31, 2023, the Company believes that any unrealized losses are recoverable prior to the investment's conversion to cash. Therefore, the Company believes these losses to be temporary and no impairments have been recognized.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9.    FAIR VALUE MEASUREMENTS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summarizes the assets measured at fair value on a recurring basis:</w:t>
      </w:r>
    </w:p>
    <w:tbl>
      <w:tblPr>
        <w:tblW w:w="10205" w:type="dxa"/>
        <w:jc w:val="left"/>
        <w:tblInd w:w="0" w:type="dxa"/>
        <w:tblCellMar>
          <w:top w:w="28" w:type="dxa"/>
          <w:left w:w="28" w:type="dxa"/>
          <w:bottom w:w="28" w:type="dxa"/>
          <w:right w:w="28" w:type="dxa"/>
        </w:tblCellMar>
      </w:tblPr>
      <w:tblGrid>
        <w:gridCol w:w="1761"/>
        <w:gridCol w:w="1511"/>
        <w:gridCol w:w="1510"/>
        <w:gridCol w:w="211"/>
        <w:gridCol w:w="751"/>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402"/>
      </w:tblGrid>
      <w:tr>
        <w:trPr/>
        <w:tc>
          <w:tcPr>
            <w:tcW w:w="1761"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3"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March 31, 2023</w:t>
            </w:r>
          </w:p>
        </w:tc>
      </w:tr>
      <w:tr>
        <w:trPr/>
        <w:tc>
          <w:tcPr>
            <w:tcW w:w="4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&amp;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71,587 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27,474 </w:t>
            </w:r>
          </w:p>
        </w:tc>
        <w:tc>
          <w:tcPr>
            <w:tcW w:w="402"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88,659 </w:t>
            </w:r>
          </w:p>
        </w:tc>
        <w:tc>
          <w:tcPr>
            <w:tcW w:w="402"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49,144 </w:t>
            </w:r>
          </w:p>
        </w:tc>
        <w:tc>
          <w:tcPr>
            <w:tcW w:w="402"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Securities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165,277 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 on a Recurring Basis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236,864 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60" w:after="283"/>
        <w:ind w:left="0" w:right="0" w:firstLine="360"/>
        <w:jc w:val="both"/>
        <w:rPr/>
      </w:pPr>
      <w:r>
        <w:rPr/>
      </w:r>
    </w:p>
    <w:tbl>
      <w:tblPr>
        <w:tblW w:w="10205" w:type="dxa"/>
        <w:jc w:val="left"/>
        <w:tblInd w:w="0" w:type="dxa"/>
        <w:tblCellMar>
          <w:top w:w="28" w:type="dxa"/>
          <w:left w:w="28" w:type="dxa"/>
          <w:bottom w:w="28" w:type="dxa"/>
          <w:right w:w="28" w:type="dxa"/>
        </w:tblCellMar>
      </w:tblPr>
      <w:tblGrid>
        <w:gridCol w:w="1761"/>
        <w:gridCol w:w="1511"/>
        <w:gridCol w:w="1510"/>
        <w:gridCol w:w="211"/>
        <w:gridCol w:w="751"/>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402"/>
      </w:tblGrid>
      <w:tr>
        <w:trPr/>
        <w:tc>
          <w:tcPr>
            <w:tcW w:w="1761"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3"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&amp;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92,086 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Municipal Debt Securities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47,655 </w:t>
            </w:r>
          </w:p>
        </w:tc>
        <w:tc>
          <w:tcPr>
            <w:tcW w:w="402"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92,778 </w:t>
            </w:r>
          </w:p>
        </w:tc>
        <w:tc>
          <w:tcPr>
            <w:tcW w:w="402"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32,202 </w:t>
            </w:r>
          </w:p>
        </w:tc>
        <w:tc>
          <w:tcPr>
            <w:tcW w:w="402"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Available-for-Sale Securities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Measured at Fair Value on a Recurring Basis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264,721 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Arial;sans-serif" w:hAnsi="Arial;sans-serif"/>
          <w:b/>
          <w:color w:val="000000"/>
          <w:sz w:val="20"/>
        </w:rPr>
      </w:pPr>
      <w:r>
        <w:rPr>
          <w:rFonts w:ascii="Arial;sans-serif" w:hAnsi="Arial;sans-serif"/>
          <w:b/>
          <w:color w:val="000000"/>
          <w:sz w:val="20"/>
        </w:rPr>
        <w:t>10.    INCOME TAXES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effective tax rate for the three months ended March 31, 2023 and 2022 was 22.9% and 43.3%, respectively. The effective tax rate represents a blend of federal and state taxes and includes the impact of certain nondeductible or nontaxable items. The 20.4% decrease in the effective tax rate was primarily due to the $6,800 non-deductible adjustment to increase the tax receivable liability related to the Tax Receivable Agreement (the "Tax Receivable Agreement" or "TRA") in the prior period, partially offset by stock compensation benefits.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 xml:space="preserve">Tax Receivable Agreement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TRA balance as of March 31, 2023 and December 31, 2022 was $101,020 and $103,800, respectively. The TRA liability is an estimate and actual amounts payable under the Tax Receivable Agreement could differ from this estimate. During the three months ended March 31, 2023, the Company recorded an immaterial adjustment to the estimated TRA liability. During the three months ended March 31, 2022, the Company recorded an adjustment to the estimated TRA liability of $6,800. During the three months ended March 31, 2023, the Company made a payment of $2,425 to the pre-IPO stockholders (the “TRA holders”), which includes certain members of the Company's management and certain of the Company's Board of Directors. The payment is included within Financing Activities on the Condensed Consolidated Statements of Cash Flows. Payments will be made in future periods as attributes that existed at the time of the IPO (the “Pre-IPO Tax Attributes”) are utilized.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Arial;sans-serif" w:hAnsi="Arial;sans-serif"/>
          <w:b/>
          <w:color w:val="000000"/>
          <w:sz w:val="20"/>
        </w:rPr>
      </w:pPr>
      <w:r>
        <w:rPr>
          <w:rFonts w:ascii="Arial;sans-serif" w:hAnsi="Arial;sans-serif"/>
          <w:b/>
          <w:color w:val="000000"/>
          <w:sz w:val="20"/>
        </w:rPr>
        <w:t>11.    STOCKHOLDERS' EQUITY</w:t>
      </w:r>
    </w:p>
    <w:p>
      <w:pPr>
        <w:pStyle w:val="TextBody"/>
        <w:spacing w:lineRule="auto" w:line="268" w:before="240" w:after="283"/>
        <w:jc w:val="both"/>
        <w:rPr>
          <w:rFonts w:ascii="Arial;sans-serif" w:hAnsi="Arial;sans-serif"/>
          <w:b/>
          <w:color w:val="000000"/>
          <w:sz w:val="20"/>
        </w:rPr>
      </w:pPr>
      <w:r>
        <w:rPr>
          <w:rFonts w:ascii="Arial;sans-serif" w:hAnsi="Arial;sans-serif"/>
          <w:b/>
          <w:color w:val="000000"/>
          <w:sz w:val="20"/>
        </w:rPr>
        <w:t>Equity Transactions</w:t>
      </w:r>
    </w:p>
    <w:p>
      <w:pPr>
        <w:pStyle w:val="TextBody"/>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Secondary Offerings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February 15, 2023, the Company announced the commencement of a secondary public offering of 5,250,000 shares of its Common Stock by an affiliate of certain investment funds managed by affiliates of Apollo Global Management, Inc. (“Apollo”). The underwriters were given an option to purchase an additional 787,500 shares of Common Stock. In connection with the offering, the underwriters agreed to sell to the Company, and the Company agreed to purchase from the underwriters, an aggregate of 750,000 shares of Common Stock at a price of $19.75 per share, the same price at which the underwriters purchased the Common Stock from the selling stockholder, for a total of $14,812. The Company incurred offering expenses of $528 in connection to this offering and did not receive any of the proceeds.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Common Stock Repurchases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October 31, 2022, the Company’s Board of Directors authorized a $50,000 stock repurchase program. During the fourth quarter of 2022, the Company entered into a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also repurchased $14,812 of its Common Stock as part of the secondary offering by the selling stockholder. See above for more details.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2023, the Company had $10,188 of Board authorization remaining to repurchase additional shares of its Common Stock. The stock repurchase program has no expiration date and may be modified, suspended, or terminated at any time.</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Amazon Agreement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December 13, 2019, the Company signed a six-year contract (with two, two-year extension options, for a maximum term of 10 years) with Amazon to provide cargo services under the ATSA. In connection with the ATSA, the Company issued warrants to Amazon to purchase an aggregate of up to 9,482,606 shares of common stock at an exercise price of approximately $15.17 per share. During the three months ended March 31, 2023 and March 31, 2022, 189,652 warrants vested in each respective period. As of March 31, 2023 and March 31, 2022, the cumulative vested warrants held by Amazon were 2,591,920 and 1,833,312, respectively. The exercise period of these warrants is through the eighth anniversary of the issue date.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Arial;sans-serif" w:hAnsi="Arial;sans-serif"/>
          <w:b/>
          <w:color w:val="000000"/>
          <w:sz w:val="20"/>
        </w:rPr>
      </w:pPr>
      <w:r>
        <w:rPr>
          <w:rFonts w:ascii="Arial;sans-serif" w:hAnsi="Arial;sans-serif"/>
          <w:b/>
          <w:color w:val="000000"/>
          <w:sz w:val="20"/>
        </w:rPr>
        <w:t>12.    COMMITMENTS AND CONTINGENCIES</w:t>
      </w:r>
    </w:p>
    <w:p>
      <w:pPr>
        <w:pStyle w:val="TextBody"/>
        <w:spacing w:lineRule="auto" w:line="288" w:before="240" w:after="283"/>
        <w:jc w:val="both"/>
        <w:rPr/>
      </w:pPr>
      <w:r>
        <w:rPr>
          <w:rFonts w:ascii="Arial;sans-serif" w:hAnsi="Arial;sans-serif"/>
          <w:b w:val="false"/>
          <w:color w:val="000000"/>
          <w:sz w:val="20"/>
        </w:rPr>
        <w:t xml:space="preserve">The Company has contractual obligations and commitments primarily with regard to lease arrangements, repayment of debt (see </w:t>
      </w:r>
      <w:hyperlink w:anchor="i2b162e4fbd8a45798bfaba84fde8af40_52">
        <w:r>
          <w:rPr>
            <w:rStyle w:val="InternetLink"/>
            <w:rFonts w:ascii="Arial;sans-serif" w:hAnsi="Arial;sans-serif"/>
            <w:b w:val="false"/>
            <w:color w:val="0000FF"/>
            <w:sz w:val="20"/>
            <w:u w:val="single"/>
          </w:rPr>
          <w:t>Note 7</w:t>
        </w:r>
      </w:hyperlink>
      <w:r>
        <w:rPr>
          <w:rFonts w:ascii="Arial;sans-serif" w:hAnsi="Arial;sans-serif"/>
          <w:b w:val="false"/>
          <w:color w:val="000000"/>
          <w:sz w:val="20"/>
        </w:rPr>
        <w:t xml:space="preserve">), payments under the TRA (see </w:t>
      </w:r>
      <w:hyperlink w:anchor="i2b162e4fbd8a45798bfaba84fde8af40_64">
        <w:r>
          <w:rPr>
            <w:rStyle w:val="InternetLink"/>
            <w:rFonts w:ascii="Arial;sans-serif" w:hAnsi="Arial;sans-serif"/>
            <w:b w:val="false"/>
            <w:color w:val="0000FF"/>
            <w:sz w:val="20"/>
            <w:u w:val="single"/>
          </w:rPr>
          <w:t>Note 10</w:t>
        </w:r>
      </w:hyperlink>
      <w:r>
        <w:rPr>
          <w:rFonts w:ascii="Arial;sans-serif" w:hAnsi="Arial;sans-serif"/>
          <w:b w:val="false"/>
          <w:color w:val="000000"/>
          <w:sz w:val="20"/>
        </w:rPr>
        <w:t xml:space="preserve">), and probable future purchases of aircraft.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second quarter of 2022, an owned aircraft was retired due to the aircraft sustaining damage beyond economic repair. The best estimate of this event was recorded during 2022. The contingency has been finalized and the impact of the retirement was not material to the Company's Condensed Consolidated Results of Operations.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2023 the Company had a commitment to lease three aircraft with deliveries spanning the fourth quarter of 2023 and the first quarter of 2024. The leases will each have annual lease payments of approximately $2,000 for six years.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2023, the Company had a commitment to purchase an incremental aircraft for approximately $24,500. The Company is expected to take delivery of the aircraft in the second quarter of 2023.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subject to various legal proceedings in the normal course of business and expenses legal costs as incurred. Management does not believe these proceedings will have a materially adverse effect on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16"/>
            <w:u w:val="single"/>
          </w:rPr>
          <w:t>Table of Contents</w:t>
        </w:r>
      </w:hyperlink>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(Dollars in thousands, except per share and share amounts)</w:t>
      </w:r>
    </w:p>
    <w:p>
      <w:pPr>
        <w:pStyle w:val="TextBody"/>
        <w:spacing w:lineRule="auto" w:line="288" w:before="0" w:after="0"/>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hanging="360"/>
        <w:jc w:val="both"/>
        <w:rPr>
          <w:rFonts w:ascii="Arial;sans-serif" w:hAnsi="Arial;sans-serif"/>
          <w:b/>
          <w:color w:val="000000"/>
          <w:sz w:val="20"/>
        </w:rPr>
      </w:pPr>
      <w:r>
        <w:rPr>
          <w:rFonts w:ascii="Arial;sans-serif" w:hAnsi="Arial;sans-serif"/>
          <w:b/>
          <w:color w:val="000000"/>
          <w:sz w:val="20"/>
        </w:rPr>
        <w:t>13.    OPERATING SEGMENTS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following tables present financial information for the Company’s two operating segments: Passenger and Cargo. </w:t>
      </w:r>
    </w:p>
    <w:tbl>
      <w:tblPr>
        <w:tblW w:w="10205" w:type="dxa"/>
        <w:jc w:val="left"/>
        <w:tblInd w:w="0" w:type="dxa"/>
        <w:tblCellMar>
          <w:top w:w="28" w:type="dxa"/>
          <w:left w:w="28" w:type="dxa"/>
          <w:bottom w:w="28" w:type="dxa"/>
          <w:right w:w="28" w:type="dxa"/>
        </w:tblCellMar>
      </w:tblPr>
      <w:tblGrid>
        <w:gridCol w:w="608"/>
        <w:gridCol w:w="533"/>
        <w:gridCol w:w="536"/>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6"/>
      </w:tblGrid>
      <w:tr>
        <w:trPr/>
        <w:tc>
          <w:tcPr>
            <w:tcW w:w="60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6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2022</w:t>
            </w:r>
          </w:p>
        </w:tc>
      </w:tr>
      <w:tr>
        <w:trPr/>
        <w:tc>
          <w:tcPr>
            <w:tcW w:w="1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Passenger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Cargo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Non-Fuel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64,544 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(6,876)</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hanging="360"/>
        <w:rPr>
          <w:rFonts w:ascii="Arial;sans-serif" w:hAnsi="Arial;sans-serif"/>
          <w:b/>
          <w:color w:val="000000"/>
          <w:sz w:val="20"/>
        </w:rPr>
      </w:pPr>
      <w:r>
        <w:rPr>
          <w:rFonts w:ascii="Arial;sans-serif" w:hAnsi="Arial;sans-serif"/>
          <w:b/>
          <w:color w:val="000000"/>
          <w:sz w:val="20"/>
        </w:rPr>
        <w:t>14.    SUBSEQUENT EVENTS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evaluated subsequent events for the period from the Balance Sheet date through April 28, 2023, the date that the Condensed Consolidated Financial Statements were available to be issued.</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2023, the Company entered into an agreement to acquire five Aircraft Held for Operating Lease. On April 4, 2023, the Company completed the transaction resulting in the acquisition of two Aircraft Held for Operating Lease for total consideration of approximately $63,000. The purchase price was primarily financed with the remaining $47,920 available under the term loan credit facility and $13,103 of the Company’s restricted cash that was previously deposited. </w:t>
      </w:r>
    </w:p>
    <w:p>
      <w:pPr>
        <w:pStyle w:val="TextBody"/>
        <w:spacing w:lineRule="auto" w:line="288" w:before="240" w:after="283"/>
        <w:jc w:val="both"/>
        <w:rPr/>
      </w:pPr>
      <w:r>
        <w:rPr>
          <w:rFonts w:ascii="Arial;sans-serif" w:hAnsi="Arial;sans-serif"/>
          <w:b w:val="false"/>
          <w:color w:val="000000"/>
          <w:sz w:val="20"/>
        </w:rPr>
        <w:t xml:space="preserve">For more information on the subsequent events, see </w:t>
      </w:r>
      <w:hyperlink w:anchor="i2b162e4fbd8a45798bfaba84fde8af40_49">
        <w:r>
          <w:rPr>
            <w:rStyle w:val="InternetLink"/>
            <w:rFonts w:ascii="Arial;sans-serif" w:hAnsi="Arial;sans-serif"/>
            <w:b w:val="false"/>
            <w:color w:val="0000FF"/>
            <w:sz w:val="20"/>
            <w:u w:val="single"/>
          </w:rPr>
          <w:t>Note 5</w:t>
        </w:r>
      </w:hyperlink>
      <w:r>
        <w:rPr>
          <w:rFonts w:ascii="Arial;sans-serif" w:hAnsi="Arial;sans-serif"/>
          <w:b w:val="false"/>
          <w:color w:val="000000"/>
          <w:sz w:val="20"/>
        </w:rPr>
        <w:t xml:space="preserve">, </w:t>
      </w:r>
      <w:hyperlink w:anchor="i2b162e4fbd8a45798bfaba84fde8af40_678">
        <w:r>
          <w:rPr>
            <w:rStyle w:val="InternetLink"/>
          </w:rPr>
          <w:t>No</w:t>
        </w:r>
      </w:hyperlink>
      <w:hyperlink w:anchor="i2b162e4fbd8a45798bfaba84fde8af40_678">
        <w:r>
          <w:rPr>
            <w:rStyle w:val="InternetLink"/>
          </w:rPr>
          <w:t>te 6</w:t>
        </w:r>
      </w:hyperlink>
      <w:r>
        <w:rPr>
          <w:rFonts w:ascii="Arial;sans-serif" w:hAnsi="Arial;sans-serif"/>
          <w:b w:val="false"/>
          <w:color w:val="000000"/>
          <w:sz w:val="20"/>
        </w:rPr>
        <w:t xml:space="preserve">, and </w:t>
      </w:r>
      <w:hyperlink w:anchor="i2b162e4fbd8a45798bfaba84fde8af40_52">
        <w:r>
          <w:rPr>
            <w:rStyle w:val="InternetLink"/>
            <w:rFonts w:ascii="Arial;sans-serif" w:hAnsi="Arial;sans-serif"/>
            <w:b w:val="false"/>
            <w:color w:val="0000FF"/>
            <w:sz w:val="20"/>
            <w:u w:val="single"/>
          </w:rPr>
          <w:t>Note 7</w:t>
        </w:r>
      </w:hyperlink>
      <w:r>
        <w:rPr>
          <w:color w:val="000000"/>
        </w:rPr>
        <w:t xml:space="preserve"> </w:t>
      </w:r>
      <w:r>
        <w:rPr>
          <w:rFonts w:ascii="Arial;sans-serif" w:hAnsi="Arial;sans-serif"/>
          <w:b w:val="false"/>
          <w:color w:val="000000"/>
          <w:sz w:val="20"/>
        </w:rPr>
        <w:t>of the Notes to the Condensed Consolidated Financial Statements included elsewhere in this report.</w:t>
      </w:r>
    </w:p>
    <w:p>
      <w:pPr>
        <w:pStyle w:val="TextBody"/>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 * * *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Unless otherwise indicated, the terms “Sun Country,” “we,” “us” and “our” refer to Sun Country Airlines Holdings, Inc., and its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spacing w:lineRule="auto" w:line="288" w:before="240" w:after="283"/>
        <w:jc w:val="both"/>
        <w:rPr/>
      </w:pPr>
      <w:r>
        <w:rPr>
          <w:rFonts w:ascii="Arial;sans-serif" w:hAnsi="Arial;sans-serif"/>
          <w:b w:val="false"/>
          <w:i/>
          <w:color w:val="000000"/>
          <w:sz w:val="20"/>
        </w:rPr>
        <w:t>The following discussion and analysis presents factors that had a material effect on our results of operations during the three months ended March 31, 2023 and 2022. Also discussed is our financial position as of March 31, 2023 and December 31, 2022.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2022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r>
        <w:fldChar w:fldCharType="begin"/>
      </w:r>
      <w:r>
        <w:rPr>
          <w:rStyle w:val="InternetLink"/>
          <w:sz w:val="20"/>
          <w:i/>
          <w:u w:val="single"/>
          <w:b w:val="false"/>
          <w:rFonts w:ascii="Arial;sans-serif" w:hAnsi="Arial;sans-serif"/>
        </w:rPr>
        <w:instrText> HYPERLINK "https://www.sec.gov/ix?doc=/Archives/edgar/data/1743907/000174390723000009/sncy-20221231.htm" \l "i684c337f82b14842ad2d4798d3d17a69_25"</w:instrText>
      </w:r>
      <w:r>
        <w:rPr>
          <w:rStyle w:val="InternetLink"/>
          <w:sz w:val="20"/>
          <w:i/>
          <w:u w:val="single"/>
          <w:b w:val="false"/>
          <w:rFonts w:ascii="Arial;sans-serif" w:hAnsi="Arial;sans-serif"/>
        </w:rPr>
        <w:fldChar w:fldCharType="separate"/>
      </w:r>
      <w:r>
        <w:rPr>
          <w:rStyle w:val="InternetLink"/>
          <w:rFonts w:ascii="Arial;sans-serif" w:hAnsi="Arial;sans-serif"/>
          <w:b w:val="false"/>
          <w:i/>
          <w:color w:val="0000FF"/>
          <w:sz w:val="20"/>
          <w:u w:val="single"/>
        </w:rPr>
        <w:t>Risk Factors</w:t>
      </w:r>
      <w:r>
        <w:rPr>
          <w:rStyle w:val="InternetLink"/>
          <w:sz w:val="20"/>
          <w:i/>
          <w:u w:val="single"/>
          <w:b w:val="false"/>
          <w:rFonts w:ascii="Arial;sans-serif" w:hAnsi="Arial;sans-serif"/>
        </w:rPr>
        <w:fldChar w:fldCharType="end"/>
      </w:r>
      <w:r>
        <w:rPr>
          <w:color w:val="000000"/>
        </w:rPr>
        <w:t xml:space="preserve">” </w:t>
      </w:r>
      <w:r>
        <w:rPr>
          <w:rFonts w:ascii="Arial;sans-serif" w:hAnsi="Arial;sans-serif"/>
          <w:b w:val="false"/>
          <w:i/>
          <w:color w:val="000000"/>
          <w:sz w:val="20"/>
        </w:rPr>
        <w:t>included in our 2022 10-K to gain an understanding of the important factors that could cause actual results to differ materially from our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Business Overview</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Sun Country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Based in Minnesota, we focus on serving leisure and visiting friends and relatives ("VFR") passengers and charter customers and providing crew, maintenance and insurance (“CMI”) services, with flights throughout the United States and to destinations in Canada, Mexico, Central America and the Caribbean.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scheduled service business combines low costs with a high-quality product to generate higher Total Revenue per Available Seat Mile (“TRASM”) than Ultra Low-Cost Carriers ("ULCCs", which include Allegiant Travel Company, Frontier Airlines and Spirit Airlines) while maintaining lower Adjusted Cost per Available Seat Mile (“CASM”) than Low Cost Carriers ("LCCs", which include Southwest Airlines and JetBlue Airways), resulting in best-in-class unit profitability. Our business includes many cost characteristics of ULCCs,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high-quality product that we believe is superior to ULCCs and consistent with that of LCCs. For example, our product includes more legroom than ULCCs, complimentary beverages, in-flight entertainment, and in-seat power, none of which are offered by ULCCs.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charter business, which is one of the largest narrow body charter operations in the United States, is a key component of our strategy because it provides both inherent diversification and downside protection, and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and collegiate and professional sports teams. Our charter business includes ad hoc, repeat, short-term and long-term service contracts with pass through fuel arrangements and annual rate escalations. Most of our business is non-cyclical because the U.S. Department of Defense and sports teams continue to fly during normal economic downturns and our casino contracts are long-term in nature. </w:t>
      </w:r>
    </w:p>
    <w:p>
      <w:pPr>
        <w:pStyle w:val="TextBody"/>
        <w:spacing w:lineRule="auto" w:line="288" w:before="240" w:after="283"/>
        <w:jc w:val="both"/>
        <w:rPr/>
      </w:pPr>
      <w:r>
        <w:rPr>
          <w:rFonts w:ascii="Arial;sans-serif" w:hAnsi="Arial;sans-serif"/>
          <w:b w:val="false"/>
          <w:color w:val="000000"/>
          <w:sz w:val="20"/>
        </w:rPr>
        <w:t xml:space="preserve">On December 13, 2019, we signed </w:t>
      </w:r>
      <w:r>
        <w:rPr>
          <w:rFonts w:ascii="Arial;sans-serif" w:hAnsi="Arial;sans-serif"/>
          <w:b w:val="false"/>
          <w:color w:val="231F20"/>
          <w:sz w:val="20"/>
        </w:rPr>
        <w:t xml:space="preserve">the </w:t>
      </w:r>
      <w:r>
        <w:rPr>
          <w:rFonts w:ascii="Arial;sans-serif" w:hAnsi="Arial;sans-serif"/>
          <w:b w:val="false"/>
          <w:color w:val="000000"/>
          <w:sz w:val="20"/>
        </w:rPr>
        <w:t>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passenger businesses. Our cargo business also enables us to leverage certain assets, capabilities, and fixed costs to enhance profitability and promote growth across our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Operations in Review</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free streaming of in-flight entertainment to passenger devices, seat reclining and seat-back power in all of our aircraft.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Pilot training throughput issues, fuel price increases due to geopolitical events, and the impact of macroeconomic conditions including inflationary pressures continue to impact the Company, as well as the industry. Airline travel demand has remained strong which has offset the additional costs associated with pilot training throughput issues, fuel price increases, and other inflationary pressures. Our flexible business model gives us the ability to adjust our services in response to these market conditions, which is targeted at producing the highest possible returns for Sun Country.</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experienced challenging winter weather at our main hub, the Minneapolis – St. Paul International Airport ("MSP") during the first quarter of 2023. A substantial portion of our business is focused on serving markets originating or ending in MSP during this seasonal peak period. Minneapolis-St. Paul had one of the top snowfalls on record this year, which drove a number of operational challenges and resulted in additional costs for the Company. Two major storms shut down MSP airport during the first quarter of 2023, which is rare. The resulting cancellations from these closures negatively impacted results in the quarter.</w:t>
      </w:r>
    </w:p>
    <w:p>
      <w:pPr>
        <w:pStyle w:val="TextBody"/>
        <w:spacing w:lineRule="auto" w:line="288" w:before="240" w:after="283"/>
        <w:jc w:val="both"/>
        <w:rPr/>
      </w:pPr>
      <w:r>
        <w:rPr>
          <w:rFonts w:ascii="Arial;sans-serif" w:hAnsi="Arial;sans-serif"/>
          <w:b w:val="false"/>
          <w:color w:val="000000"/>
          <w:sz w:val="20"/>
        </w:rPr>
        <w:t xml:space="preserve">For more information on our business and strategic advantages, see the "Business" and “Management’s Discussion and Analysis of Operations” sections within Part I, </w:t>
      </w:r>
      <w:r>
        <w:fldChar w:fldCharType="begin"/>
      </w:r>
      <w:r>
        <w:rPr>
          <w:rStyle w:val="InternetLink"/>
          <w:sz w:val="20"/>
          <w:u w:val="single"/>
          <w:b w:val="false"/>
          <w:rFonts w:ascii="Arial;sans-serif" w:hAnsi="Arial;sans-serif"/>
        </w:rPr>
        <w:instrText> HYPERLINK "https://www.sec.gov/ix?doc=/Archives/edgar/data/1743907/000174390723000009/sncy-20221231.htm" \l "i684c337f82b14842ad2d4798d3d17a69_22"</w:instrText>
      </w:r>
      <w:r>
        <w:rPr>
          <w:rStyle w:val="InternetLink"/>
          <w:sz w:val="20"/>
          <w:u w:val="single"/>
          <w:b w:val="false"/>
          <w:rFonts w:ascii="Arial;sans-serif" w:hAnsi="Arial;sans-serif"/>
        </w:rPr>
        <w:fldChar w:fldCharType="separate"/>
      </w:r>
      <w:r>
        <w:rPr>
          <w:rStyle w:val="InternetLink"/>
          <w:rFonts w:ascii="Arial;sans-serif" w:hAnsi="Arial;sans-serif"/>
          <w:b w:val="false"/>
          <w:color w:val="0000FF"/>
          <w:sz w:val="20"/>
          <w:u w:val="single"/>
        </w:rPr>
        <w:t>Item 1</w:t>
      </w:r>
      <w:r>
        <w:rPr>
          <w:rStyle w:val="InternetLink"/>
          <w:sz w:val="20"/>
          <w:u w:val="single"/>
          <w:b w:val="false"/>
          <w:rFonts w:ascii="Arial;sans-serif" w:hAnsi="Arial;sans-serif"/>
        </w:rPr>
        <w:fldChar w:fldCharType="end"/>
      </w:r>
      <w:r>
        <w:rPr>
          <w:color w:val="000000"/>
        </w:rPr>
        <w:t xml:space="preserve"> </w:t>
      </w:r>
      <w:r>
        <w:rPr>
          <w:rFonts w:ascii="Arial;sans-serif" w:hAnsi="Arial;sans-serif"/>
          <w:b w:val="false"/>
          <w:color w:val="000000"/>
          <w:sz w:val="20"/>
        </w:rPr>
        <w:t xml:space="preserve">and Part II, </w:t>
      </w:r>
      <w:r>
        <w:fldChar w:fldCharType="begin"/>
      </w:r>
      <w:r>
        <w:rPr>
          <w:rStyle w:val="InternetLink"/>
          <w:sz w:val="20"/>
          <w:u w:val="single"/>
          <w:b w:val="false"/>
          <w:rFonts w:ascii="Arial;sans-serif" w:hAnsi="Arial;sans-serif"/>
        </w:rPr>
        <w:instrText> HYPERLINK "https://www.sec.gov/ix?doc=/Archives/edgar/data/1743907/000174390723000009/sncy-20221231.htm" \l "i684c337f82b14842ad2d4798d3d17a69_49"</w:instrText>
      </w:r>
      <w:r>
        <w:rPr>
          <w:rStyle w:val="InternetLink"/>
          <w:sz w:val="20"/>
          <w:u w:val="single"/>
          <w:b w:val="false"/>
          <w:rFonts w:ascii="Arial;sans-serif" w:hAnsi="Arial;sans-seri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rPr>
        <w:fldChar w:fldCharType="end"/>
      </w:r>
      <w:r>
        <w:rPr>
          <w:rFonts w:ascii="Arial;sans-serif" w:hAnsi="Arial;sans-serif"/>
          <w:b w:val="false"/>
          <w:color w:val="000000"/>
          <w:sz w:val="20"/>
        </w:rPr>
        <w:t xml:space="preserve">, respectively, in our 2022 10-K. </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Components of Operations</w:t>
      </w:r>
    </w:p>
    <w:p>
      <w:pPr>
        <w:pStyle w:val="TextBody"/>
        <w:spacing w:lineRule="auto" w:line="288" w:before="240" w:after="283"/>
        <w:jc w:val="both"/>
        <w:rPr/>
      </w:pPr>
      <w:r>
        <w:rPr>
          <w:rFonts w:ascii="Arial;sans-serif" w:hAnsi="Arial;sans-serif"/>
          <w:b w:val="false"/>
          <w:color w:val="000000"/>
          <w:sz w:val="20"/>
        </w:rPr>
        <w:t xml:space="preserve">For a more detailed discussion on the nature of transactions included in the separate line items of our Condensed Consolidated Statement of Operations, see “Management’s Discussion and Analysis of Operations” in Part II, </w:t>
      </w:r>
      <w:r>
        <w:fldChar w:fldCharType="begin"/>
      </w:r>
      <w:r>
        <w:rPr>
          <w:rStyle w:val="InternetLink"/>
          <w:sz w:val="20"/>
          <w:u w:val="single"/>
          <w:b w:val="false"/>
          <w:rFonts w:ascii="Arial;sans-serif" w:hAnsi="Arial;sans-serif"/>
        </w:rPr>
        <w:instrText> HYPERLINK "https://www.sec.gov/ix?doc=/Archives/edgar/data/1743907/000174390723000009/sncy-20221231.htm" \l "i684c337f82b14842ad2d4798d3d17a69_49"</w:instrText>
      </w:r>
      <w:r>
        <w:rPr>
          <w:rStyle w:val="InternetLink"/>
          <w:sz w:val="20"/>
          <w:u w:val="single"/>
          <w:b w:val="false"/>
          <w:rFonts w:ascii="Arial;sans-serif" w:hAnsi="Arial;sans-seri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rPr>
        <w:fldChar w:fldCharType="end"/>
      </w:r>
      <w:r>
        <w:rPr>
          <w:color w:val="000000"/>
        </w:rPr>
        <w:t xml:space="preserve"> </w:t>
      </w:r>
      <w:r>
        <w:rPr>
          <w:rFonts w:ascii="Arial;sans-serif" w:hAnsi="Arial;sans-serif"/>
          <w:b w:val="false"/>
          <w:color w:val="000000"/>
          <w:sz w:val="20"/>
        </w:rPr>
        <w:t>in our 2022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Operating Statistics</w:t>
      </w:r>
    </w:p>
    <w:tbl>
      <w:tblPr>
        <w:tblW w:w="10205" w:type="dxa"/>
        <w:jc w:val="left"/>
        <w:tblInd w:w="0" w:type="dxa"/>
        <w:tblCellMar>
          <w:top w:w="28" w:type="dxa"/>
          <w:left w:w="28" w:type="dxa"/>
          <w:bottom w:w="28" w:type="dxa"/>
          <w:right w:w="28" w:type="dxa"/>
        </w:tblCellMar>
      </w:tblPr>
      <w:tblGrid>
        <w:gridCol w:w="652"/>
        <w:gridCol w:w="562"/>
        <w:gridCol w:w="567"/>
        <w:gridCol w:w="166"/>
        <w:gridCol w:w="466"/>
        <w:gridCol w:w="211"/>
        <w:gridCol w:w="109"/>
        <w:gridCol w:w="109"/>
        <w:gridCol w:w="109"/>
        <w:gridCol w:w="178"/>
        <w:gridCol w:w="438"/>
        <w:gridCol w:w="109"/>
        <w:gridCol w:w="109"/>
        <w:gridCol w:w="109"/>
        <w:gridCol w:w="109"/>
        <w:gridCol w:w="308"/>
        <w:gridCol w:w="308"/>
        <w:gridCol w:w="151"/>
        <w:gridCol w:w="109"/>
        <w:gridCol w:w="109"/>
        <w:gridCol w:w="109"/>
        <w:gridCol w:w="219"/>
        <w:gridCol w:w="457"/>
        <w:gridCol w:w="109"/>
        <w:gridCol w:w="109"/>
        <w:gridCol w:w="109"/>
        <w:gridCol w:w="109"/>
        <w:gridCol w:w="236"/>
        <w:gridCol w:w="154"/>
        <w:gridCol w:w="301"/>
        <w:gridCol w:w="109"/>
        <w:gridCol w:w="109"/>
        <w:gridCol w:w="109"/>
        <w:gridCol w:w="178"/>
        <w:gridCol w:w="438"/>
        <w:gridCol w:w="109"/>
        <w:gridCol w:w="109"/>
        <w:gridCol w:w="109"/>
        <w:gridCol w:w="109"/>
        <w:gridCol w:w="308"/>
        <w:gridCol w:w="308"/>
        <w:gridCol w:w="151"/>
        <w:gridCol w:w="109"/>
        <w:gridCol w:w="109"/>
        <w:gridCol w:w="109"/>
        <w:gridCol w:w="219"/>
        <w:gridCol w:w="457"/>
        <w:gridCol w:w="156"/>
      </w:tblGrid>
      <w:tr>
        <w:trPr/>
        <w:tc>
          <w:tcPr>
            <w:tcW w:w="65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1"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 xml:space="preserve">Three Months Ended March 31, 2023 </w:t>
            </w:r>
            <w:r>
              <w:rPr>
                <w:rFonts w:ascii="Arial;sans-serif" w:hAnsi="Arial;sans-serif"/>
                <w:b/>
                <w:color w:val="000000"/>
                <w:sz w:val="8"/>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6"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12"/>
              </w:rPr>
              <w:t xml:space="preserve">Three Months Ended March 31, 2022 </w:t>
            </w:r>
            <w:r>
              <w:rPr>
                <w:rFonts w:ascii="Arial;sans-serif" w:hAnsi="Arial;sans-serif"/>
                <w:b/>
                <w:color w:val="000000"/>
                <w:sz w:val="8"/>
              </w:rPr>
              <w:t>(1)</w:t>
            </w:r>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Scheduled</w:t>
              <w:br/>
              <w:t xml:space="preserve">Service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Charter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Cargo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2"/>
              </w:rPr>
            </w:pPr>
            <w:r>
              <w:rPr>
                <w:rFonts w:ascii="Arial;sans-serif" w:hAnsi="Arial;sans-serif"/>
                <w:b/>
                <w:color w:val="000000"/>
                <w:sz w:val="12"/>
              </w:rPr>
              <w:t>Total</w:t>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Departures </w:t>
            </w:r>
            <w:r>
              <w:rPr>
                <w:rFonts w:ascii="Arial;sans-serif" w:hAnsi="Arial;sans-serif"/>
                <w:b w:val="false"/>
                <w:color w:val="000000"/>
                <w:sz w:val="8"/>
              </w:rPr>
              <w:t>(2)</w:t>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2,574 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10,487 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Block hours </w:t>
            </w:r>
            <w:r>
              <w:rPr>
                <w:rFonts w:ascii="Arial;sans-serif" w:hAnsi="Arial;sans-serif"/>
                <w:b w:val="false"/>
                <w:color w:val="000000"/>
                <w:sz w:val="8"/>
              </w:rPr>
              <w:t>(2)</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21,941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7,776 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22,433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7,390 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33,805 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Aircraft miles </w:t>
            </w:r>
            <w:r>
              <w:rPr>
                <w:rFonts w:ascii="Arial;sans-serif" w:hAnsi="Arial;sans-serif"/>
                <w:b w:val="false"/>
                <w:color w:val="000000"/>
                <w:sz w:val="8"/>
              </w:rPr>
              <w:t>(2)</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8,740,473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1,725,753 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2,840,370 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13,401,208 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9,100,714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1,379,448 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2,809,782 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13,334,873 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Available seat miles (ASMs) (thousands) </w:t>
            </w:r>
            <w:r>
              <w:rPr>
                <w:rFonts w:ascii="Arial;sans-serif" w:hAnsi="Arial;sans-serif"/>
                <w:b w:val="false"/>
                <w:color w:val="000000"/>
                <w:sz w:val="8"/>
              </w:rPr>
              <w:t>(2)</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1,625,728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301,913 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1,945,001 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1,684,532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1,928,149 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Total revenue per ASM (TRASM) (cents)</w:t>
            </w:r>
            <w:r>
              <w:rPr>
                <w:color w:val="000000"/>
              </w:rPr>
              <w:t xml:space="preserve"> </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Average passenger aircraft during the period </w:t>
            </w:r>
            <w:r>
              <w:rPr>
                <w:rFonts w:ascii="Arial;sans-serif" w:hAnsi="Arial;sans-serif"/>
                <w:b w:val="false"/>
                <w:color w:val="000000"/>
                <w:sz w:val="8"/>
              </w:rPr>
              <w:t>(3)</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Passenger aircraft at end of period </w:t>
            </w:r>
            <w:r>
              <w:rPr>
                <w:rFonts w:ascii="Arial;sans-serif" w:hAnsi="Arial;sans-serif"/>
                <w:b w:val="false"/>
                <w:color w:val="000000"/>
                <w:sz w:val="8"/>
              </w:rPr>
              <w:t>(3)</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Cargo aircraft at end of period</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Aircraft Held for Operating Lease</w:t>
            </w:r>
          </w:p>
        </w:tc>
        <w:tc>
          <w:tcPr>
            <w:tcW w:w="8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Average daily aircraft utilization (hours) </w:t>
            </w:r>
            <w:r>
              <w:rPr>
                <w:rFonts w:ascii="Arial;sans-serif" w:hAnsi="Arial;sans-serif"/>
                <w:b w:val="false"/>
                <w:color w:val="000000"/>
                <w:sz w:val="8"/>
              </w:rPr>
              <w:t>(3)</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Average stage length (miles)</w:t>
            </w:r>
          </w:p>
        </w:tc>
        <w:tc>
          <w:tcPr>
            <w:tcW w:w="8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Revenue passengers carried </w:t>
            </w:r>
            <w:r>
              <w:rPr>
                <w:rFonts w:ascii="Arial;sans-serif" w:hAnsi="Arial;sans-serif"/>
                <w:b w:val="false"/>
                <w:color w:val="000000"/>
                <w:sz w:val="8"/>
              </w:rPr>
              <w:t>(4)</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998,238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922,652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Revenue passenger miles (RPMs) (thousands) </w:t>
            </w:r>
            <w:r>
              <w:rPr>
                <w:rFonts w:ascii="Arial;sans-serif" w:hAnsi="Arial;sans-serif"/>
                <w:b w:val="false"/>
                <w:color w:val="000000"/>
                <w:sz w:val="8"/>
              </w:rPr>
              <w:t>(4)</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1,432,131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1,338,459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Load factor </w:t>
            </w:r>
            <w:r>
              <w:rPr>
                <w:rFonts w:ascii="Arial;sans-serif" w:hAnsi="Arial;sans-serif"/>
                <w:b w:val="false"/>
                <w:color w:val="000000"/>
                <w:sz w:val="8"/>
              </w:rPr>
              <w:t>(4)</w:t>
            </w:r>
          </w:p>
        </w:tc>
        <w:tc>
          <w:tcPr>
            <w:tcW w:w="6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88.1 </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79.5 </w:t>
            </w:r>
          </w:p>
        </w:tc>
        <w:tc>
          <w:tcPr>
            <w:tcW w:w="30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Average base fare per passenger </w:t>
            </w:r>
            <w:r>
              <w:rPr>
                <w:rFonts w:ascii="Arial;sans-serif" w:hAnsi="Arial;sans-serif"/>
                <w:b w:val="false"/>
                <w:color w:val="000000"/>
                <w:sz w:val="8"/>
              </w:rPr>
              <w:t>(4)</w:t>
            </w:r>
          </w:p>
        </w:tc>
        <w:tc>
          <w:tcPr>
            <w:tcW w:w="1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152.93 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134.47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Ancillary revenue per passenger </w:t>
            </w:r>
            <w:r>
              <w:rPr>
                <w:rFonts w:ascii="Arial;sans-serif" w:hAnsi="Arial;sans-serif"/>
                <w:b w:val="false"/>
                <w:color w:val="000000"/>
                <w:sz w:val="8"/>
              </w:rPr>
              <w:t>(4)</w:t>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68.55 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48.87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Charter revenue per block hour</w:t>
            </w:r>
            <w:r>
              <w:rPr>
                <w:color w:val="000000"/>
              </w:rPr>
              <w:t xml:space="preserve"> </w:t>
            </w:r>
            <w:r>
              <w:rPr>
                <w:rFonts w:ascii="Arial;sans-serif" w:hAnsi="Arial;sans-serif"/>
                <w:b w:val="false"/>
                <w:color w:val="000000"/>
                <w:sz w:val="8"/>
              </w:rPr>
              <w:t>(4)</w:t>
            </w:r>
          </w:p>
        </w:tc>
        <w:tc>
          <w:tcPr>
            <w:tcW w:w="8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Fuel gallons consumed (thousands) </w:t>
            </w:r>
            <w:r>
              <w:rPr>
                <w:rFonts w:ascii="Arial;sans-serif" w:hAnsi="Arial;sans-serif"/>
                <w:b w:val="false"/>
                <w:color w:val="000000"/>
                <w:sz w:val="8"/>
              </w:rPr>
              <w:t>(2)</w:t>
            </w:r>
          </w:p>
        </w:tc>
        <w:tc>
          <w:tcPr>
            <w:tcW w:w="6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17,383 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17,401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20,245 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Fuel cost per gallon, excluding indirect fuel credits</w:t>
            </w:r>
          </w:p>
        </w:tc>
        <w:tc>
          <w:tcPr>
            <w:tcW w:w="84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Employees at end of period</w:t>
            </w:r>
          </w:p>
        </w:tc>
        <w:tc>
          <w:tcPr>
            <w:tcW w:w="8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Cost per available seat mile (CASM) (cents) </w:t>
            </w:r>
            <w:r>
              <w:rPr>
                <w:rFonts w:ascii="Arial;sans-serif" w:hAnsi="Arial;sans-serif"/>
                <w:b w:val="false"/>
                <w:color w:val="000000"/>
                <w:sz w:val="8"/>
              </w:rPr>
              <w:t>(5)</w:t>
            </w:r>
          </w:p>
        </w:tc>
        <w:tc>
          <w:tcPr>
            <w:tcW w:w="8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12"/>
              </w:rPr>
            </w:pPr>
            <w:r>
              <w:rPr>
                <w:rFonts w:ascii="Arial;sans-serif" w:hAnsi="Arial;sans-serif"/>
                <w:b w:val="false"/>
                <w:color w:val="000000"/>
                <w:sz w:val="12"/>
              </w:rPr>
              <w:t>12.25 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2"/>
              </w:rPr>
              <w:t xml:space="preserve">Adjusted CASM (cents) </w:t>
            </w:r>
            <w:r>
              <w:rPr>
                <w:rFonts w:ascii="Arial;sans-serif" w:hAnsi="Arial;sans-serif"/>
                <w:b w:val="false"/>
                <w:color w:val="000000"/>
                <w:sz w:val="8"/>
              </w:rPr>
              <w:t>(6)</w:t>
            </w:r>
          </w:p>
        </w:tc>
        <w:tc>
          <w:tcPr>
            <w:tcW w:w="8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______________________</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(1)Certain operating statistics and metrics are not presented as they are not calculable or are not utilized by management.</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(3)Scheduled Service and Charter service utilize the same fleet of aircraft. Aircraft counts and utilization metrics are shown on a system basis only.</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(4)Passenger-related statistics and metrics are shown only for scheduled service. Charter service revenue is driven by flight statistics.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(5)CASM is a key airline cost metric. CASM is defined as operating expenses divided by total available seat miles.</w:t>
      </w:r>
    </w:p>
    <w:p>
      <w:pPr>
        <w:pStyle w:val="TextBody"/>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(6)Adjusted CASM is a non-GAAP measure derived from CASM by excluding fuel costs, costs related to our cargo operations, and certain other costs that are unrelated to our airline operations.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center"/>
        <w:rPr/>
      </w:pPr>
      <w:r>
        <w:rPr/>
      </w:r>
    </w:p>
    <w:p>
      <w:pPr>
        <w:pStyle w:val="TextBody"/>
        <w:spacing w:before="24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For the Three Months Ended March 31, 2023 and 2022</w:t>
      </w:r>
    </w:p>
    <w:p>
      <w:pPr>
        <w:pStyle w:val="TextBody"/>
        <w:spacing w:before="0" w:after="0"/>
        <w:jc w:val="both"/>
        <w:rPr/>
      </w:pPr>
      <w:r>
        <w:rPr/>
      </w:r>
    </w:p>
    <w:tbl>
      <w:tblPr>
        <w:tblW w:w="8647" w:type="dxa"/>
        <w:jc w:val="left"/>
        <w:tblInd w:w="0" w:type="dxa"/>
        <w:tblCellMar>
          <w:top w:w="28" w:type="dxa"/>
          <w:left w:w="28" w:type="dxa"/>
          <w:bottom w:w="28" w:type="dxa"/>
          <w:right w:w="28" w:type="dxa"/>
        </w:tblCellMar>
      </w:tblPr>
      <w:tblGrid>
        <w:gridCol w:w="1168"/>
        <w:gridCol w:w="1026"/>
        <w:gridCol w:w="1030"/>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40"/>
        <w:gridCol w:w="241"/>
        <w:gridCol w:w="538"/>
      </w:tblGrid>
      <w:tr>
        <w:trPr/>
        <w:tc>
          <w:tcPr>
            <w:tcW w:w="1168"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Scheduled Service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Charter Service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Ancillary</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Passenger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0000"/>
                <w:sz w:val="20"/>
              </w:rPr>
            </w:pPr>
            <w:r>
              <w:rPr>
                <w:rFonts w:ascii="Arial;sans-serif" w:hAnsi="Arial;sans-serif"/>
                <w:b/>
                <w:color w:val="000000"/>
                <w:sz w:val="20"/>
              </w:rPr>
              <w:t>Non-operating Income (Expense):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5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2414" w:type="dxa"/>
        <w:jc w:val="left"/>
        <w:tblInd w:w="0" w:type="dxa"/>
        <w:tblCellMar>
          <w:top w:w="28" w:type="dxa"/>
          <w:left w:w="28" w:type="dxa"/>
          <w:bottom w:w="28" w:type="dxa"/>
          <w:right w:w="28" w:type="dxa"/>
        </w:tblCellMar>
      </w:tblPr>
      <w:tblGrid>
        <w:gridCol w:w="773"/>
        <w:gridCol w:w="679"/>
        <w:gridCol w:w="962"/>
      </w:tblGrid>
      <w:tr>
        <w:trPr/>
        <w:tc>
          <w:tcPr>
            <w:tcW w:w="773"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16"/>
              </w:rPr>
            </w:pPr>
            <w:r>
              <w:rPr>
                <w:rFonts w:ascii="Arial;sans-serif" w:hAnsi="Arial;sans-serif"/>
                <w:b w:val="false"/>
                <w:color w:val="000000"/>
                <w:sz w:val="16"/>
              </w:rPr>
              <w:t>"NM" stands for not meaningful</w:t>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Total Operating Revenues increased $67,590, or 30%, to $294,115 for the three months ended March 31, 2023 from $226,525 for the three months ended March 31, 2022. The increase was largely driven by an increase in demand for passenger service during the first quarter of 2023 as compared to the first quarter of 2022. The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increase in demand resulted in an increase to average total fare per passenger of $38.14, or 21%, to $221.48 for the three months ended March 31, 2023 as compared to the three months ended March 31, 2022.</w:t>
      </w:r>
    </w:p>
    <w:p>
      <w:pPr>
        <w:pStyle w:val="TextBody"/>
        <w:spacing w:lineRule="auto" w:line="288" w:before="240" w:after="283"/>
        <w:jc w:val="both"/>
        <w:rPr/>
      </w:pPr>
      <w:r>
        <w:rPr>
          <w:rFonts w:ascii="Arial;sans-serif" w:hAnsi="Arial;sans-serif"/>
          <w:b/>
          <w:i/>
          <w:color w:val="000000"/>
          <w:sz w:val="20"/>
        </w:rPr>
        <w:t>Scheduled Service</w:t>
      </w:r>
      <w:r>
        <w:rPr>
          <w:rFonts w:ascii="Arial;sans-serif" w:hAnsi="Arial;sans-serif"/>
          <w:b w:val="false"/>
          <w:i/>
          <w:color w:val="000000"/>
          <w:sz w:val="20"/>
        </w:rPr>
        <w:t xml:space="preserve">. </w:t>
      </w:r>
      <w:r>
        <w:rPr>
          <w:rFonts w:ascii="Arial;sans-serif" w:hAnsi="Arial;sans-serif"/>
          <w:b w:val="false"/>
          <w:color w:val="000000"/>
          <w:sz w:val="20"/>
        </w:rPr>
        <w:t>Scheduled service revenue increased by $28,589, or 23%, to $152,657 for the three months ended March 31, 2023 from $124,068 for the three months ended March 31, 2022. The table below presents select operating data for scheduled service, expressed as year-over-year changes:</w:t>
      </w:r>
    </w:p>
    <w:tbl>
      <w:tblPr>
        <w:tblW w:w="8666" w:type="dxa"/>
        <w:jc w:val="left"/>
        <w:tblInd w:w="0" w:type="dxa"/>
        <w:tblCellMar>
          <w:top w:w="28" w:type="dxa"/>
          <w:left w:w="28" w:type="dxa"/>
          <w:bottom w:w="28" w:type="dxa"/>
          <w:right w:w="28" w:type="dxa"/>
        </w:tblCellMar>
      </w:tblPr>
      <w:tblGrid>
        <w:gridCol w:w="1085"/>
        <w:gridCol w:w="952"/>
        <w:gridCol w:w="963"/>
        <w:gridCol w:w="223"/>
        <w:gridCol w:w="798"/>
        <w:gridCol w:w="286"/>
        <w:gridCol w:w="109"/>
        <w:gridCol w:w="109"/>
        <w:gridCol w:w="109"/>
        <w:gridCol w:w="223"/>
        <w:gridCol w:w="798"/>
        <w:gridCol w:w="286"/>
        <w:gridCol w:w="109"/>
        <w:gridCol w:w="109"/>
        <w:gridCol w:w="109"/>
        <w:gridCol w:w="211"/>
        <w:gridCol w:w="646"/>
        <w:gridCol w:w="376"/>
        <w:gridCol w:w="109"/>
        <w:gridCol w:w="109"/>
        <w:gridCol w:w="109"/>
        <w:gridCol w:w="188"/>
        <w:gridCol w:w="188"/>
        <w:gridCol w:w="462"/>
      </w:tblGrid>
      <w:tr>
        <w:trPr/>
        <w:tc>
          <w:tcPr>
            <w:tcW w:w="1085"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Departures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Passengers</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998,238 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922,652 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75,586 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base fare per passenger</w:t>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RPMs (thousands)</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1,432,131 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1,338,459 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93,672 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ASMs (thousands)</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1,625,728 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1,684,532 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(58,804)</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TRASM (cents)</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Passenger load factor</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3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year-over-year increases in certain scheduled service operating data were primarily the result of an increase in demand in the first quarter of 2023 relative to the same period in 2022. The year-over-year increase in demand is demonstrated by a 14% increase in the average base fare per passenger, 8.6 percentage points increase in passenger load factor, and a 8% increase in passengers, as year-over-year ASMs decreased by 3%. The year-over-year revenue increase is slightly offset by the introduction of an Ancillary product during the second quarter of 2022, which reclassified approximately $17,224 of revenue from Scheduled Service to Ancillary during the three months ended March 31, 2023.</w:t>
      </w:r>
    </w:p>
    <w:p>
      <w:pPr>
        <w:pStyle w:val="TextBody"/>
        <w:spacing w:lineRule="auto" w:line="288" w:before="240" w:after="283"/>
        <w:jc w:val="both"/>
        <w:rPr/>
      </w:pPr>
      <w:r>
        <w:rPr>
          <w:rFonts w:ascii="Arial;sans-serif" w:hAnsi="Arial;sans-serif"/>
          <w:b/>
          <w:i/>
          <w:color w:val="000000"/>
          <w:sz w:val="20"/>
        </w:rPr>
        <w:t>Charter Service.</w:t>
      </w:r>
      <w:r>
        <w:rPr>
          <w:color w:val="000000"/>
        </w:rPr>
        <w:t xml:space="preserve"> </w:t>
      </w:r>
      <w:r>
        <w:rPr>
          <w:rFonts w:ascii="Arial;sans-serif" w:hAnsi="Arial;sans-serif"/>
          <w:b w:val="false"/>
          <w:color w:val="000000"/>
          <w:sz w:val="20"/>
        </w:rPr>
        <w:t>Charter service revenue increased $13,308, or 40%, to $46,187 for the three months ended March 31, 2023, from $32,879 for the three months ended March 31, 2022. Charter revenue per block hour was $9,139 for the three months ended March 31, 2023, as compared to $8,643 for the three months ended March 31, 2022, for an increase of 6%. The increase in Charter service revenue was driven by a 46% and 33% increase in Charter departures and block hours, respectively, primarily due to new charter agreements.</w:t>
      </w:r>
    </w:p>
    <w:p>
      <w:pPr>
        <w:pStyle w:val="TextBody"/>
        <w:spacing w:lineRule="auto" w:line="288" w:before="240" w:after="283"/>
        <w:jc w:val="both"/>
        <w:rPr/>
      </w:pPr>
      <w:r>
        <w:rPr>
          <w:rFonts w:ascii="Arial;sans-serif" w:hAnsi="Arial;sans-serif"/>
          <w:b/>
          <w:i/>
          <w:color w:val="000000"/>
          <w:sz w:val="20"/>
        </w:rPr>
        <w:t>Ancillary</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Ancillary revenue increased by $23,339, or 52%, to $68,425 for the three months ended March 31, 2023, from $45,086 for the three months ended March 31, 2022. Ancillary revenue was $68.55 per passenger in the three months ended March 31, 2023, up $19.68, or 40%, from the three months ended March 31, 2022. Ancillary revenue benefited from the introduction of an Ancillary product during the second quarter of 2022, which reclassified approximately $17,224 of revenue from Scheduled Service to Ancillary during the three months ended March 31, 2023. The increase in scheduled passengers and passenger load factor of 8% and 8.6 percentage points, respectively, during the period resulted in greater sales of air travel-related services, such as baggage fees, seat selection and upgrade fees, priority check-in and boarding fees, itinerary service fees and on-board sales.</w:t>
      </w:r>
    </w:p>
    <w:p>
      <w:pPr>
        <w:pStyle w:val="TextBody"/>
        <w:spacing w:lineRule="auto" w:line="288" w:before="240" w:after="283"/>
        <w:jc w:val="both"/>
        <w:rPr/>
      </w:pPr>
      <w:r>
        <w:rPr>
          <w:rFonts w:ascii="Arial;sans-serif" w:hAnsi="Arial;sans-serif"/>
          <w:b/>
          <w:i/>
          <w:color w:val="000000"/>
          <w:sz w:val="20"/>
        </w:rPr>
        <w:t>Cargo</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 xml:space="preserve">Revenue from cargo services increased by $2,308, or 11%, to $23,361 for the three months ended March 31, 2023, from $21,053 for the three months ended March 31, 2022. The increase was primarily driven by a 18% and 5% increase in departures and block hours, respectively. Revenue during the three months ended March 31, 2023 also benefited from the annual rate escalation included in the ATSA, which went into effect on December 13, 2022.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Arial;sans-serif" w:hAnsi="Arial;sans-serif"/>
          <w:b/>
          <w:i/>
          <w:color w:val="000000"/>
          <w:sz w:val="20"/>
        </w:rPr>
        <w:t>Other</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Other revenue was $3,485 for the three months ended March 31, 2023, as compared to $3,439 for the three months ended March 31, 2022. Other revenue will benefit in future periods from the rental revenue associated with the five Aircraft Held for Operating Lease acquired in March and April of 2023.</w:t>
      </w:r>
    </w:p>
    <w:p>
      <w:pPr>
        <w:pStyle w:val="TextBody"/>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Operating Expenses</w:t>
      </w:r>
    </w:p>
    <w:p>
      <w:pPr>
        <w:pStyle w:val="TextBody"/>
        <w:spacing w:lineRule="auto" w:line="288" w:before="240" w:after="283"/>
        <w:jc w:val="both"/>
        <w:rPr/>
      </w:pPr>
      <w:r>
        <w:rPr>
          <w:rFonts w:ascii="Arial;sans-serif" w:hAnsi="Arial;sans-serif"/>
          <w:b/>
          <w:i/>
          <w:color w:val="000000"/>
          <w:sz w:val="20"/>
        </w:rPr>
        <w:t>Aircraft Fuel</w:t>
      </w:r>
      <w:r>
        <w:rPr>
          <w:rFonts w:ascii="Arial;sans-serif" w:hAnsi="Arial;sans-serif"/>
          <w:b w:val="false"/>
          <w:color w:val="000000"/>
          <w:sz w:val="20"/>
        </w:rPr>
        <w:t>. We believe Aircraft Fuel expense, excluding indirect fuel credits, is the best measure of the effect of fuel prices on our 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primary components of Aircraft Fuel expense are shown in the following table:</w:t>
      </w:r>
    </w:p>
    <w:p>
      <w:pPr>
        <w:pStyle w:val="TextBody"/>
        <w:spacing w:before="0" w:after="0"/>
        <w:jc w:val="both"/>
        <w:rPr/>
      </w:pPr>
      <w:r>
        <w:rPr/>
      </w:r>
    </w:p>
    <w:tbl>
      <w:tblPr>
        <w:tblW w:w="9804" w:type="dxa"/>
        <w:jc w:val="left"/>
        <w:tblInd w:w="0" w:type="dxa"/>
        <w:tblCellMar>
          <w:top w:w="28" w:type="dxa"/>
          <w:left w:w="28" w:type="dxa"/>
          <w:bottom w:w="28" w:type="dxa"/>
          <w:right w:w="28" w:type="dxa"/>
        </w:tblCellMar>
      </w:tblPr>
      <w:tblGrid>
        <w:gridCol w:w="1739"/>
        <w:gridCol w:w="1528"/>
        <w:gridCol w:w="1533"/>
        <w:gridCol w:w="218"/>
        <w:gridCol w:w="775"/>
        <w:gridCol w:w="112"/>
        <w:gridCol w:w="112"/>
        <w:gridCol w:w="112"/>
        <w:gridCol w:w="112"/>
        <w:gridCol w:w="218"/>
        <w:gridCol w:w="775"/>
        <w:gridCol w:w="112"/>
        <w:gridCol w:w="109"/>
        <w:gridCol w:w="109"/>
        <w:gridCol w:w="109"/>
        <w:gridCol w:w="211"/>
        <w:gridCol w:w="646"/>
        <w:gridCol w:w="109"/>
        <w:gridCol w:w="109"/>
        <w:gridCol w:w="109"/>
        <w:gridCol w:w="109"/>
        <w:gridCol w:w="188"/>
        <w:gridCol w:w="188"/>
        <w:gridCol w:w="462"/>
      </w:tblGrid>
      <w:tr>
        <w:trPr/>
        <w:tc>
          <w:tcPr>
            <w:tcW w:w="1739"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4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Aircraft Fuel Expense</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72,290 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64,544 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Indirect Fuel Credits</w:t>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462" w:type="dxa"/>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Aircraft Fuel Expense, Excluding Indirect Fuel Credits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Gallons Consumed (thousands)</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62" w:type="dxa"/>
            <w:tcBorders/>
            <w:shd w:fill="FFFFFF" w:val="clear"/>
            <w:tcMar>
              <w:top w:w="0" w:type="dxa"/>
              <w:left w:w="0" w:type="dxa"/>
              <w:bottom w:w="0" w:type="dxa"/>
              <w:right w:w="0" w:type="dxa"/>
            </w:tcMar>
            <w:vAlign w:val="center"/>
          </w:tcPr>
          <w:p>
            <w:pPr>
              <w:pStyle w:val="TableContents"/>
              <w:spacing w:lineRule="auto" w:line="240" w:before="0" w:after="283"/>
              <w:ind w:left="0" w:right="0" w:hanging="90"/>
              <w:jc w:val="right"/>
              <w:rPr>
                <w:rFonts w:ascii="Arial;sans-serif" w:hAnsi="Arial;sans-serif"/>
                <w:b w:val="false"/>
                <w:color w:val="000000"/>
                <w:sz w:val="20"/>
              </w:rPr>
            </w:pPr>
            <w:r>
              <w:rPr>
                <w:rFonts w:ascii="Arial;sans-serif" w:hAnsi="Arial;sans-serif"/>
                <w:b w:val="false"/>
                <w:color w:val="000000"/>
                <w:sz w:val="20"/>
              </w:rPr>
              <w:t>%</w:t>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Fuel Cost per Gallon, Excluding Indirect Fuel Credits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4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60" w:after="283"/>
        <w:rPr/>
      </w:pPr>
      <w:r>
        <w:rPr/>
      </w:r>
    </w:p>
    <w:p>
      <w:pPr>
        <w:pStyle w:val="TextBody"/>
        <w:spacing w:lineRule="auto" w:line="288" w:before="60" w:after="283"/>
        <w:rPr>
          <w:rFonts w:ascii="Arial;sans-serif" w:hAnsi="Arial;sans-serif"/>
          <w:b w:val="false"/>
          <w:color w:val="000000"/>
          <w:sz w:val="20"/>
        </w:rPr>
      </w:pPr>
      <w:r>
        <w:rPr>
          <w:rFonts w:ascii="Arial;sans-serif" w:hAnsi="Arial;sans-serif"/>
          <w:b w:val="false"/>
          <w:color w:val="000000"/>
          <w:sz w:val="20"/>
        </w:rPr>
        <w:t>Aircraft Fuel expense increased by 12% year-over-year primarily due to a 8% increase in the average fuel cost per gallon and a 4% increase in consumption. The price of fuel continues to be impacted by global geopolitical events.</w:t>
      </w:r>
    </w:p>
    <w:p>
      <w:pPr>
        <w:pStyle w:val="TextBody"/>
        <w:spacing w:lineRule="auto" w:line="288" w:before="240" w:after="283"/>
        <w:jc w:val="both"/>
        <w:rPr/>
      </w:pPr>
      <w:r>
        <w:rPr>
          <w:rFonts w:ascii="Arial;sans-serif" w:hAnsi="Arial;sans-serif"/>
          <w:b/>
          <w:i/>
          <w:color w:val="000000"/>
          <w:sz w:val="20"/>
        </w:rPr>
        <w:t>Salaries</w:t>
      </w:r>
      <w:r>
        <w:rPr>
          <w:rFonts w:ascii="Arial;sans-serif" w:hAnsi="Arial;sans-serif"/>
          <w:b/>
          <w:color w:val="000000"/>
          <w:sz w:val="20"/>
        </w:rPr>
        <w:t xml:space="preserve">, </w:t>
      </w:r>
      <w:r>
        <w:rPr>
          <w:rFonts w:ascii="Arial;sans-serif" w:hAnsi="Arial;sans-serif"/>
          <w:b/>
          <w:i/>
          <w:color w:val="000000"/>
          <w:sz w:val="20"/>
        </w:rPr>
        <w:t>Wages, and Benefits</w:t>
      </w:r>
      <w:r>
        <w:rPr>
          <w:rFonts w:ascii="Arial;sans-serif" w:hAnsi="Arial;sans-serif"/>
          <w:b w:val="false"/>
          <w:color w:val="000000"/>
          <w:sz w:val="20"/>
        </w:rPr>
        <w:t xml:space="preserve">. Salaries, Wages, and Benefits expense increased $15,813, or 27%, to $75,430 for the three months ended March 31, 2023, as compared to $59,617 for the three months ended March 31, 2022. The increase in Salaries, Wages, and Benefits was primarily due to an increase in headcount, as well as per unit costs for pilots to support the current flight schedule. The employee headcount as of March 31, 2023 was 2,634, as compared to 2,316 as of March 31, 2022, for an increase of 318, or 14%. </w:t>
      </w:r>
    </w:p>
    <w:p>
      <w:pPr>
        <w:pStyle w:val="TextBody"/>
        <w:spacing w:lineRule="auto" w:line="288" w:before="240" w:after="283"/>
        <w:jc w:val="both"/>
        <w:rPr/>
      </w:pPr>
      <w:r>
        <w:rPr>
          <w:rFonts w:ascii="Arial;sans-serif" w:hAnsi="Arial;sans-serif"/>
          <w:b/>
          <w:i/>
          <w:color w:val="000000"/>
          <w:sz w:val="20"/>
        </w:rPr>
        <w:t>Aircraft Rent</w:t>
      </w:r>
      <w:r>
        <w:rPr>
          <w:rFonts w:ascii="Arial;sans-serif" w:hAnsi="Arial;sans-serif"/>
          <w:b w:val="false"/>
          <w:color w:val="000000"/>
          <w:sz w:val="20"/>
        </w:rPr>
        <w:t>. Aircraft Rent expense decreased $1,706, or 54%, to $1,480 for the three months ended March 31, 2023, as compared to $3,186 for the three months ended March 31, 2022. Aircraft Rent expense decreased primarily due to the composition of our aircraft fleet shifting from aircraft under operating leases (expense is recorded within Aircraft Rent) to owned aircraft or finance leases (expense is recorded through Depreciation and Amortization and Interest Expense). As of March 31, 2023 and 2022, there were two and four aircraft under operating leases, respectively</w:t>
      </w:r>
      <w:r>
        <w:rPr>
          <w:rFonts w:ascii="Arial;sans-serif" w:hAnsi="Arial;sans-serif"/>
          <w:b w:val="false"/>
          <w:color w:val="000000"/>
          <w:sz w:val="22"/>
        </w:rPr>
        <w:t>.</w:t>
      </w:r>
      <w:r>
        <w:rPr>
          <w:color w:val="000000"/>
        </w:rPr>
        <w:t xml:space="preserve"> </w:t>
      </w:r>
    </w:p>
    <w:p>
      <w:pPr>
        <w:pStyle w:val="TextBody"/>
        <w:spacing w:lineRule="auto" w:line="288" w:before="240" w:after="283"/>
        <w:jc w:val="both"/>
        <w:rPr/>
      </w:pPr>
      <w:r>
        <w:rPr>
          <w:rFonts w:ascii="Arial;sans-serif" w:hAnsi="Arial;sans-serif"/>
          <w:b/>
          <w:i/>
          <w:color w:val="000000"/>
          <w:sz w:val="20"/>
        </w:rPr>
        <w:t>Maintenance</w:t>
      </w:r>
      <w:r>
        <w:rPr>
          <w:rFonts w:ascii="Arial;sans-serif" w:hAnsi="Arial;sans-serif"/>
          <w:b w:val="false"/>
          <w:color w:val="000000"/>
          <w:sz w:val="20"/>
        </w:rPr>
        <w:t>. Maintenance expense increased $1,044, or 9%, to $13,039 for the three months ended March 31, 2023, as compared to $11,995 for the three months ended March 31, 2022. The increase in maintenance expense was primarily driven by the year-over-year increase in the size of our fleet, as well as increased total system departures and block hours. These amounts were partially offset by fewer landing gear events and heavy maintenance checks.</w:t>
      </w:r>
    </w:p>
    <w:p>
      <w:pPr>
        <w:pStyle w:val="TextBody"/>
        <w:spacing w:lineRule="auto" w:line="288" w:before="240" w:after="283"/>
        <w:jc w:val="both"/>
        <w:rPr/>
      </w:pPr>
      <w:r>
        <w:rPr>
          <w:rFonts w:ascii="Arial;sans-serif" w:hAnsi="Arial;sans-serif"/>
          <w:b/>
          <w:i/>
          <w:color w:val="000000"/>
          <w:sz w:val="20"/>
        </w:rPr>
        <w:t>Sales and Marketing</w:t>
      </w:r>
      <w:r>
        <w:rPr>
          <w:rFonts w:ascii="Arial;sans-serif" w:hAnsi="Arial;sans-serif"/>
          <w:b w:val="false"/>
          <w:color w:val="000000"/>
          <w:sz w:val="20"/>
        </w:rPr>
        <w:t xml:space="preserve">. Sales and Marketing expense increased $1,301, or 15%, to $9,929 for the three months ended March 31, 2023, as compared to $8,628 for the three months ended March 31, 2022. The year-over-year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increase was driven by approximately $1,500 increase in credit card processing, partially offset by a decrease in global distribution system expenses due to a new direct distribution method that has shifted the mix of direct and indirect sales.</w:t>
      </w:r>
    </w:p>
    <w:p>
      <w:pPr>
        <w:pStyle w:val="TextBody"/>
        <w:spacing w:lineRule="auto" w:line="288" w:before="240" w:after="283"/>
        <w:jc w:val="both"/>
        <w:rPr/>
      </w:pPr>
      <w:r>
        <w:rPr>
          <w:rFonts w:ascii="Arial;sans-serif" w:hAnsi="Arial;sans-serif"/>
          <w:b/>
          <w:i/>
          <w:color w:val="000000"/>
          <w:sz w:val="20"/>
        </w:rPr>
        <w:t>Depreciation and Amortization</w:t>
      </w:r>
      <w:r>
        <w:rPr>
          <w:rFonts w:ascii="Arial;sans-serif" w:hAnsi="Arial;sans-serif"/>
          <w:b w:val="false"/>
          <w:color w:val="000000"/>
          <w:sz w:val="20"/>
        </w:rPr>
        <w:t xml:space="preserve">. Depreciation and Amortization expense increased $4,132, or 27%, to $19,460 for the three months ended March 31, 2023, as compared to $15,328 for the three months ended March 31, 2022. The increase was primarily due to the impact of a change in the composition of our aircraft fleet that results in an increased number of owned aircraft and aircraft under finance leases (the expense is recorded as Depreciation and Amortization and Interest Expense). As of March 31, 2023 and 2022, there were 43 and 34 aircraft that were owned or under finance leases, respectively. </w:t>
      </w:r>
    </w:p>
    <w:p>
      <w:pPr>
        <w:pStyle w:val="TextBody"/>
        <w:spacing w:lineRule="auto" w:line="288" w:before="240" w:after="283"/>
        <w:jc w:val="both"/>
        <w:rPr/>
      </w:pPr>
      <w:r>
        <w:rPr>
          <w:rFonts w:ascii="Arial;sans-serif" w:hAnsi="Arial;sans-serif"/>
          <w:b/>
          <w:i/>
          <w:color w:val="000000"/>
          <w:sz w:val="20"/>
        </w:rPr>
        <w:t>Ground Handling</w:t>
      </w:r>
      <w:r>
        <w:rPr>
          <w:rFonts w:ascii="Arial;sans-serif" w:hAnsi="Arial;sans-serif"/>
          <w:b w:val="false"/>
          <w:color w:val="000000"/>
          <w:sz w:val="20"/>
        </w:rPr>
        <w:t>. Ground Handling expense increased $3,080, or 39%, to $11,038 for the three months ended March 31, 2023, as compared to $7,958 for the three months ended March 31, 2022. The increase was primarily driven by the 46% increase in Charter departures, as well as rate increases due to inflationary and market pressures.</w:t>
      </w:r>
    </w:p>
    <w:p>
      <w:pPr>
        <w:pStyle w:val="TextBody"/>
        <w:spacing w:lineRule="auto" w:line="288" w:before="240" w:after="283"/>
        <w:jc w:val="both"/>
        <w:rPr/>
      </w:pPr>
      <w:r>
        <w:rPr>
          <w:rFonts w:ascii="Arial;sans-serif" w:hAnsi="Arial;sans-serif"/>
          <w:b/>
          <w:i/>
          <w:color w:val="000000"/>
          <w:sz w:val="20"/>
        </w:rPr>
        <w:t>Landing Fees and Airport Rent</w:t>
      </w:r>
      <w:r>
        <w:rPr>
          <w:rFonts w:ascii="Arial;sans-serif" w:hAnsi="Arial;sans-serif"/>
          <w:b w:val="false"/>
          <w:color w:val="000000"/>
          <w:sz w:val="20"/>
        </w:rPr>
        <w:t>. Landing Fees and Airport Rent increased $1,765, or 17%, to $12,051 for the three months ended March 31, 2023, as compared to $10,286 for the three months ended March 31, 2022. The increase was primarily driven by the 46% increase in Charter departures, as well as rate increases due to inflationary and market pressures.</w:t>
      </w:r>
    </w:p>
    <w:p>
      <w:pPr>
        <w:pStyle w:val="TextBody"/>
        <w:spacing w:lineRule="auto" w:line="288" w:before="240" w:after="283"/>
        <w:jc w:val="both"/>
        <w:rPr/>
      </w:pPr>
      <w:r>
        <w:rPr>
          <w:rFonts w:ascii="Arial;sans-serif" w:hAnsi="Arial;sans-serif"/>
          <w:b/>
          <w:i/>
          <w:color w:val="000000"/>
          <w:sz w:val="20"/>
        </w:rPr>
        <w:t>Other Operating, net</w:t>
      </w:r>
      <w:r>
        <w:rPr>
          <w:rFonts w:ascii="Arial;sans-serif" w:hAnsi="Arial;sans-serif"/>
          <w:b w:val="false"/>
          <w:color w:val="000000"/>
          <w:sz w:val="20"/>
        </w:rPr>
        <w:t>. Other operating, net increased $465, or 2%, to $23,615 for the three months ended March 31, 2023, as compared to $23,150 for the three months ended March 31, 2022, mainly due to increased departures within Charter, which resulted in higher crew travel costs and catering expenses, as well as an increase in other operational overhead costs. These increases were partially offset by an increase in Charter recovery costs as a result of the 46% increase in departures.</w:t>
      </w:r>
    </w:p>
    <w:p>
      <w:pPr>
        <w:pStyle w:val="TextBody"/>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Non-operating Income (Expense)</w:t>
      </w:r>
    </w:p>
    <w:p>
      <w:pPr>
        <w:pStyle w:val="TextBody"/>
        <w:spacing w:lineRule="auto" w:line="288" w:before="240" w:after="283"/>
        <w:jc w:val="both"/>
        <w:rPr/>
      </w:pPr>
      <w:r>
        <w:rPr>
          <w:rFonts w:ascii="Arial;sans-serif" w:hAnsi="Arial;sans-serif"/>
          <w:b/>
          <w:i/>
          <w:color w:val="000000"/>
          <w:sz w:val="20"/>
        </w:rPr>
        <w:t>Interest Income</w:t>
      </w:r>
      <w:r>
        <w:rPr>
          <w:rFonts w:ascii="Arial;sans-serif" w:hAnsi="Arial;sans-serif"/>
          <w:b w:val="false"/>
          <w:color w:val="000000"/>
          <w:sz w:val="20"/>
        </w:rPr>
        <w:t>. Interest income was $2,741 for the three months ended March 31, 2023 primarily due to the change in investment strategy which led to the purchase of debt securities during the second quarter of 2022. Interest income for the three months ended March 31, 2022 was nominal.</w:t>
      </w:r>
    </w:p>
    <w:p>
      <w:pPr>
        <w:pStyle w:val="TextBody"/>
        <w:spacing w:lineRule="auto" w:line="288" w:before="240" w:after="283"/>
        <w:jc w:val="both"/>
        <w:rPr/>
      </w:pPr>
      <w:r>
        <w:rPr>
          <w:rFonts w:ascii="Arial;sans-serif" w:hAnsi="Arial;sans-serif"/>
          <w:b/>
          <w:i/>
          <w:color w:val="000000"/>
          <w:sz w:val="20"/>
        </w:rPr>
        <w:t>Interest Expense</w:t>
      </w:r>
      <w:r>
        <w:rPr>
          <w:rFonts w:ascii="Arial;sans-serif" w:hAnsi="Arial;sans-serif"/>
          <w:b w:val="false"/>
          <w:color w:val="000000"/>
          <w:sz w:val="20"/>
        </w:rPr>
        <w:t xml:space="preserve">. Interest expense increased $68, or 1%, to $8,630 for the three months ended March 31, 2023, as compared to $8,562 for the three months ended March 31, 2022. The increase was primarily due to a larger mix of owned aircraft that were financed or refinanced with the proceeds from new debt, partially offset by a $1,557 loss on extinguishment of debt in the three months ended March 31, 2022 related to the repayment of the DDTL. Interest expense will be impacted in future periods from the additional debt incurred to complete the acquisition of five Aircraft Held for Operating Lease in March and April of 2023. For more information on the Company's Debt, see </w:t>
      </w:r>
      <w:hyperlink w:anchor="i2b162e4fbd8a45798bfaba84fde8af40_52">
        <w:r>
          <w:rPr>
            <w:rStyle w:val="InternetLink"/>
            <w:rFonts w:ascii="Arial;sans-serif" w:hAnsi="Arial;sans-serif"/>
            <w:b w:val="false"/>
            <w:color w:val="0000FF"/>
            <w:sz w:val="20"/>
            <w:u w:val="single"/>
          </w:rPr>
          <w:t>Note 7</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spacing w:lineRule="auto" w:line="288" w:before="240" w:after="283"/>
        <w:jc w:val="both"/>
        <w:rPr/>
      </w:pPr>
      <w:r>
        <w:rPr>
          <w:rFonts w:ascii="Arial;sans-serif" w:hAnsi="Arial;sans-serif"/>
          <w:b/>
          <w:i/>
          <w:color w:val="000000"/>
          <w:sz w:val="20"/>
        </w:rPr>
        <w:t>Other, net</w:t>
      </w:r>
      <w:r>
        <w:rPr>
          <w:rFonts w:ascii="Arial;sans-serif" w:hAnsi="Arial;sans-serif"/>
          <w:b w:val="false"/>
          <w:color w:val="000000"/>
          <w:sz w:val="20"/>
        </w:rPr>
        <w:t xml:space="preserve">. Other, net was a net expense of $212 for the three months ended March 31, 2023, as compared to a net expense of $6,876 for the three months ended March 31, 2022, a decrease of $6,664, or 97%. The decrease was primarily due to the $6,800 adjustment to increase the estimated TRA liability in the prior year, partially offset by offering expenses of $528 in connection to the Company's secondary offering during the three months ended March 31, 2023.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Arial;sans-serif" w:hAnsi="Arial;sans-serif"/>
          <w:b/>
          <w:i/>
          <w:color w:val="000000"/>
          <w:sz w:val="20"/>
        </w:rPr>
        <w:t>Income Tax.</w:t>
      </w:r>
      <w:r>
        <w:rPr>
          <w:color w:val="000000"/>
        </w:rPr>
        <w:t xml:space="preserve"> </w:t>
      </w:r>
      <w:r>
        <w:rPr>
          <w:rFonts w:ascii="Arial;sans-serif" w:hAnsi="Arial;sans-serif"/>
          <w:b w:val="false"/>
          <w:color w:val="000000"/>
          <w:sz w:val="20"/>
        </w:rPr>
        <w:t xml:space="preserve">The Company's effective tax rate for the three months ended March 31, 2023 was 22.9% compared to 43.3% for the three months ended March 31, 2022. The decrease in the effective tax rate was primarily due to the $6,800 non-deductible adjustment of the TRA liability in the prior period, partially offset by stock compensation benefits. For more information on the TRA liability, see </w:t>
      </w:r>
      <w:hyperlink w:anchor="i2b162e4fbd8a45798bfaba84fde8af40_64">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 xml:space="preserve">of the Condensed Consolidated Financial Statements included in Part I, Item I of this report. </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Segments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For the Three Months Ended March 31, 2023 and 2022</w:t>
      </w:r>
    </w:p>
    <w:tbl>
      <w:tblPr>
        <w:tblW w:w="10205" w:type="dxa"/>
        <w:jc w:val="left"/>
        <w:tblInd w:w="0" w:type="dxa"/>
        <w:tblCellMar>
          <w:top w:w="28" w:type="dxa"/>
          <w:left w:w="28" w:type="dxa"/>
          <w:bottom w:w="28" w:type="dxa"/>
          <w:right w:w="28" w:type="dxa"/>
        </w:tblCellMar>
      </w:tblPr>
      <w:tblGrid>
        <w:gridCol w:w="821"/>
        <w:gridCol w:w="626"/>
        <w:gridCol w:w="630"/>
        <w:gridCol w:w="324"/>
        <w:gridCol w:w="218"/>
        <w:gridCol w:w="578"/>
        <w:gridCol w:w="120"/>
        <w:gridCol w:w="120"/>
        <w:gridCol w:w="120"/>
        <w:gridCol w:w="264"/>
        <w:gridCol w:w="203"/>
        <w:gridCol w:w="506"/>
        <w:gridCol w:w="120"/>
        <w:gridCol w:w="120"/>
        <w:gridCol w:w="120"/>
        <w:gridCol w:w="265"/>
        <w:gridCol w:w="276"/>
        <w:gridCol w:w="577"/>
        <w:gridCol w:w="109"/>
        <w:gridCol w:w="109"/>
        <w:gridCol w:w="109"/>
        <w:gridCol w:w="324"/>
        <w:gridCol w:w="218"/>
        <w:gridCol w:w="578"/>
        <w:gridCol w:w="120"/>
        <w:gridCol w:w="120"/>
        <w:gridCol w:w="120"/>
        <w:gridCol w:w="248"/>
        <w:gridCol w:w="190"/>
        <w:gridCol w:w="501"/>
        <w:gridCol w:w="120"/>
        <w:gridCol w:w="120"/>
        <w:gridCol w:w="120"/>
        <w:gridCol w:w="240"/>
        <w:gridCol w:w="208"/>
        <w:gridCol w:w="643"/>
      </w:tblGrid>
      <w:tr>
        <w:trPr/>
        <w:tc>
          <w:tcPr>
            <w:tcW w:w="821"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r>
      <w:tr>
        <w:trPr/>
        <w:tc>
          <w:tcPr>
            <w:tcW w:w="2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1"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 2022</w:t>
            </w:r>
          </w:p>
        </w:tc>
      </w:tr>
      <w:tr>
        <w:trPr/>
        <w:tc>
          <w:tcPr>
            <w:tcW w:w="20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Cargo</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Passenger</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 xml:space="preserve">Cargo </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 xml:space="preserve">Total </w:t>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270,754</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23,361</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294,115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205,472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21,053</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226,525</w:t>
            </w:r>
          </w:p>
        </w:tc>
      </w:tr>
      <w:tr>
        <w:trPr/>
        <w:tc>
          <w:tcPr>
            <w:tcW w:w="2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72,266</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72,290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64,544</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64,544</w:t>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Salaries, Wages, and Benefits</w:t>
            </w:r>
          </w:p>
        </w:tc>
        <w:tc>
          <w:tcPr>
            <w:tcW w:w="11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58,808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16,622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47,531</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12,086</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59,617</w:t>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Rent</w:t>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1,480</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3,186</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3,186</w:t>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Maintenance</w:t>
            </w:r>
          </w:p>
        </w:tc>
        <w:tc>
          <w:tcPr>
            <w:tcW w:w="11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9,482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3,557</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9,103</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11,995</w:t>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9,929</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8,628</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8,628</w:t>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1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19,430</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15,302</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15,328</w:t>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Ground Handling</w:t>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11,038</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7,954</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7,958</w:t>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Landing Fees and Airport Rent</w:t>
            </w:r>
          </w:p>
        </w:tc>
        <w:tc>
          <w:tcPr>
            <w:tcW w:w="11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11,950</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10,171</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10,286</w:t>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net</w:t>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18,520</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5,095</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18,935</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4,215</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23,150</w:t>
            </w:r>
          </w:p>
        </w:tc>
      </w:tr>
      <w:tr>
        <w:trPr/>
        <w:tc>
          <w:tcPr>
            <w:tcW w:w="2077"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212,903</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25,429</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238,332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185,354</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19,338</w:t>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204,692</w:t>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 (Loss)</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57,851</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(2,068)</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20,118</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21,833</w:t>
            </w:r>
          </w:p>
        </w:tc>
      </w:tr>
      <w:tr>
        <w:trPr/>
        <w:tc>
          <w:tcPr>
            <w:tcW w:w="2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Margin %</w:t>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50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57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57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50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643"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240" w:after="283"/>
        <w:jc w:val="both"/>
        <w:rPr/>
      </w:pPr>
      <w:r>
        <w:rPr>
          <w:rFonts w:ascii="Arial;sans-serif" w:hAnsi="Arial;sans-serif"/>
          <w:b/>
          <w:i/>
          <w:color w:val="000000"/>
          <w:sz w:val="20"/>
        </w:rPr>
        <w:t>Passenger.</w:t>
      </w:r>
      <w:r>
        <w:rPr>
          <w:color w:val="000000"/>
        </w:rPr>
        <w:t xml:space="preserve"> </w:t>
      </w:r>
      <w:r>
        <w:rPr>
          <w:rFonts w:ascii="Arial;sans-serif" w:hAnsi="Arial;sans-serif"/>
          <w:b w:val="false"/>
          <w:color w:val="000000"/>
          <w:sz w:val="20"/>
        </w:rPr>
        <w:t>Passenger Operating Income increased by $37,733 to $57,851 for the three months ended March 31, 2023 from $20,118 for the three months ended March 31, 2022. The Operating Margin Percentage for the three months ended March 31, 2023 increased by 11.6 percentage points, as compared to the three months ended March 31, 2022. The increase in Passenger Operating Income and Operating Margin was primarily driven by an increase in demand for passenger service during the first quarter of 2023, as compared to the first quarter of 2022, resulting in higher per unit revenues for both scheduled service and charter. These revenue increases more than offset increases in expenses. For more information on the changes in the components of Operating Income for the Passenger segment, refer to the Results of Operations discussion above</w:t>
      </w:r>
      <w:r>
        <w:rPr>
          <w:rFonts w:ascii="Arial;sans-serif" w:hAnsi="Arial;sans-serif"/>
          <w:b w:val="false"/>
          <w:color w:val="000000"/>
          <w:sz w:val="22"/>
        </w:rPr>
        <w:t>.</w:t>
      </w:r>
    </w:p>
    <w:p>
      <w:pPr>
        <w:pStyle w:val="TextBody"/>
        <w:spacing w:lineRule="auto" w:line="288" w:before="240" w:after="283"/>
        <w:jc w:val="both"/>
        <w:rPr/>
      </w:pPr>
      <w:r>
        <w:rPr>
          <w:rFonts w:ascii="Arial;sans-serif" w:hAnsi="Arial;sans-serif"/>
          <w:b/>
          <w:i/>
          <w:color w:val="000000"/>
          <w:sz w:val="20"/>
        </w:rPr>
        <w:t xml:space="preserve">Cargo. </w:t>
      </w:r>
      <w:r>
        <w:rPr>
          <w:rFonts w:ascii="Arial;sans-serif" w:hAnsi="Arial;sans-serif"/>
          <w:b w:val="false"/>
          <w:color w:val="000000"/>
          <w:sz w:val="20"/>
        </w:rPr>
        <w:t xml:space="preserve">Cargo had an Operating Loss of $2,068 for the three months ended March 31, 2023, as compared to Operating Income of $1,715 for the three months ended March 31, 2022, a decrease of $3,783. Operating Margin Percentage for the three months ended March 31, 2023 decreased by 17.0 percentage points, as compared to the three months ended March 31, 2022. The decrease was primarily driven by a year-over-year increase in Salaries, Wages, and Benefits due to an increase in head count, as well as per unit costs for pilots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 support operations. For more information on the components of Operating Income for the Cargo segment, refer to the Results of Operations discussion above, where we describe the cargo expenses embedded within each financial statement line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 xml:space="preserve">Non-GAAP Financial Measures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Adjusted Operating Income, Adjusted Operating Income Margin, Adjusted Net Income and Adjusted EBITDA</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pStyle w:val="TextBody"/>
        <w:spacing w:lineRule="auto" w:line="288" w:before="240" w:after="283"/>
        <w:jc w:val="both"/>
        <w:rPr/>
      </w:pPr>
      <w:r>
        <w:rPr>
          <w:rFonts w:ascii="Arial;sans-serif" w:hAnsi="Arial;sans-serif"/>
          <w:b w:val="false"/>
          <w:color w:val="000000"/>
          <w:sz w:val="20"/>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 this information</w:t>
      </w:r>
      <w:r>
        <w:rPr>
          <w:rFonts w:ascii="Arial;sans-serif" w:hAnsi="Arial;sans-serif"/>
          <w:b w:val="false"/>
          <w:color w:val="000000"/>
          <w:sz w:val="24"/>
        </w:rPr>
        <w:t xml:space="preserve">. </w:t>
      </w:r>
    </w:p>
    <w:p>
      <w:pPr>
        <w:pStyle w:val="TextBody"/>
        <w:spacing w:before="240" w:after="283"/>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83"/>
        <w:rPr>
          <w:rFonts w:ascii="Arial;sans-serif" w:hAnsi="Arial;sans-serif"/>
          <w:b w:val="false"/>
          <w:color w:val="000000"/>
          <w:sz w:val="20"/>
        </w:rPr>
      </w:pPr>
      <w:r>
        <w:rPr>
          <w:rFonts w:ascii="Arial;sans-serif" w:hAnsi="Arial;sans-serif"/>
          <w:b w:val="false"/>
          <w:color w:val="000000"/>
          <w:sz w:val="20"/>
        </w:rPr>
        <w:t>The following table presents the reconciliation of Operating Income to Adjusted Operating Income, and Adjusted Operating Income Margin for the periods presented below.</w:t>
      </w:r>
    </w:p>
    <w:tbl>
      <w:tblPr>
        <w:tblW w:w="7330" w:type="dxa"/>
        <w:jc w:val="left"/>
        <w:tblInd w:w="0" w:type="dxa"/>
        <w:tblCellMar>
          <w:top w:w="28" w:type="dxa"/>
          <w:left w:w="28" w:type="dxa"/>
          <w:bottom w:w="28" w:type="dxa"/>
          <w:right w:w="28" w:type="dxa"/>
        </w:tblCellMar>
      </w:tblPr>
      <w:tblGrid>
        <w:gridCol w:w="1619"/>
        <w:gridCol w:w="1422"/>
        <w:gridCol w:w="1428"/>
        <w:gridCol w:w="345"/>
        <w:gridCol w:w="219"/>
        <w:gridCol w:w="577"/>
        <w:gridCol w:w="178"/>
        <w:gridCol w:w="178"/>
        <w:gridCol w:w="178"/>
        <w:gridCol w:w="345"/>
        <w:gridCol w:w="208"/>
        <w:gridCol w:w="633"/>
      </w:tblGrid>
      <w:tr>
        <w:trPr/>
        <w:tc>
          <w:tcPr>
            <w:tcW w:w="1619"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Income Margin Reconciliation:</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Revenue</w:t>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294,115</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226,525</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55,783</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21,833</w:t>
            </w:r>
          </w:p>
        </w:tc>
      </w:tr>
      <w:tr>
        <w:trPr/>
        <w:tc>
          <w:tcPr>
            <w:tcW w:w="44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58,461</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22,753</w:t>
            </w:r>
          </w:p>
        </w:tc>
      </w:tr>
      <w:tr>
        <w:trPr/>
        <w:tc>
          <w:tcPr>
            <w:tcW w:w="4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 Margin</w:t>
            </w:r>
          </w:p>
        </w:tc>
        <w:tc>
          <w:tcPr>
            <w:tcW w:w="5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5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6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Adjusted Operating Income Margin </w:t>
            </w:r>
          </w:p>
        </w:tc>
        <w:tc>
          <w:tcPr>
            <w:tcW w:w="5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5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6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The following table presents the reconciliation of Net Income to Adjusted Net Income for the periods presented below.</w:t>
      </w:r>
    </w:p>
    <w:tbl>
      <w:tblPr>
        <w:tblW w:w="6461" w:type="dxa"/>
        <w:jc w:val="left"/>
        <w:tblInd w:w="0" w:type="dxa"/>
        <w:tblCellMar>
          <w:top w:w="28" w:type="dxa"/>
          <w:left w:w="28" w:type="dxa"/>
          <w:bottom w:w="28" w:type="dxa"/>
          <w:right w:w="28" w:type="dxa"/>
        </w:tblCellMar>
      </w:tblPr>
      <w:tblGrid>
        <w:gridCol w:w="1402"/>
        <w:gridCol w:w="1231"/>
        <w:gridCol w:w="1237"/>
        <w:gridCol w:w="217"/>
        <w:gridCol w:w="775"/>
        <w:gridCol w:w="112"/>
        <w:gridCol w:w="112"/>
        <w:gridCol w:w="112"/>
        <w:gridCol w:w="112"/>
        <w:gridCol w:w="217"/>
        <w:gridCol w:w="775"/>
        <w:gridCol w:w="159"/>
      </w:tblGrid>
      <w:tr>
        <w:trPr/>
        <w:tc>
          <w:tcPr>
            <w:tcW w:w="1402"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 Reconciliation:</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38,328 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(a)</w:t>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refinancing credit facility</w:t>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 xml:space="preserve">TRA adjustment </w:t>
            </w:r>
            <w:r>
              <w:rPr>
                <w:rFonts w:ascii="Arial;sans-serif" w:hAnsi="Arial;sans-serif"/>
                <w:b w:val="false"/>
                <w:color w:val="000000"/>
                <w:sz w:val="13"/>
              </w:rPr>
              <w:t>(b)</w:t>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 xml:space="preserve">Income tax effect of adjusting items, net </w:t>
            </w:r>
            <w:r>
              <w:rPr>
                <w:rFonts w:ascii="Arial;sans-serif" w:hAnsi="Arial;sans-serif"/>
                <w:b w:val="false"/>
                <w:color w:val="000000"/>
                <w:sz w:val="13"/>
              </w:rPr>
              <w:t>(c)</w:t>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(737)</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(568)</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40,440 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12,344 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CellMar>
          <w:top w:w="28" w:type="dxa"/>
          <w:left w:w="28" w:type="dxa"/>
          <w:bottom w:w="28" w:type="dxa"/>
          <w:right w:w="28" w:type="dxa"/>
        </w:tblCellMar>
      </w:tblPr>
      <w:tblGrid>
        <w:gridCol w:w="124"/>
        <w:gridCol w:w="109"/>
        <w:gridCol w:w="109"/>
        <w:gridCol w:w="2933"/>
        <w:gridCol w:w="2860"/>
        <w:gridCol w:w="40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c>
          <w:tcPr>
            <w:tcW w:w="2860"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(a)</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(b)</w:t>
            </w:r>
          </w:p>
        </w:tc>
        <w:tc>
          <w:tcPr>
            <w:tcW w:w="9863" w:type="dxa"/>
            <w:gridSpan w:val="3"/>
            <w:tcBorders/>
            <w:shd w:fill="auto" w:val="clear"/>
            <w:tcMar>
              <w:top w:w="0" w:type="dxa"/>
              <w:left w:w="0" w:type="dxa"/>
              <w:bottom w:w="0" w:type="dxa"/>
              <w:right w:w="0" w:type="dxa"/>
            </w:tcMar>
            <w:vAlign w:val="center"/>
          </w:tcPr>
          <w:p>
            <w:pPr>
              <w:pStyle w:val="TableContents"/>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(c)</w:t>
            </w:r>
          </w:p>
        </w:tc>
        <w:tc>
          <w:tcPr>
            <w:tcW w:w="9863" w:type="dxa"/>
            <w:gridSpan w:val="3"/>
            <w:tcBorders/>
            <w:shd w:fill="auto" w:val="clear"/>
            <w:tcMar>
              <w:top w:w="0" w:type="dxa"/>
              <w:left w:w="0" w:type="dxa"/>
              <w:bottom w:w="0" w:type="dxa"/>
              <w:right w:w="0" w:type="dxa"/>
            </w:tcMar>
            <w:vAlign w:val="center"/>
          </w:tcPr>
          <w:p>
            <w:pPr>
              <w:pStyle w:val="TableContents"/>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The tax effect of adjusting items, net is calculated at the Company's statutory rate for the applicable period. The TRA adjustment is not included within the income tax effect calculation.</w:t>
            </w:r>
          </w:p>
        </w:tc>
      </w:tr>
    </w:tbl>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presents the reconciliation of Net Income to Adjusted EBITDA for the periods presented below.</w:t>
      </w:r>
    </w:p>
    <w:tbl>
      <w:tblPr>
        <w:tblW w:w="5756" w:type="dxa"/>
        <w:jc w:val="left"/>
        <w:tblInd w:w="0" w:type="dxa"/>
        <w:tblCellMar>
          <w:top w:w="28" w:type="dxa"/>
          <w:left w:w="28" w:type="dxa"/>
          <w:bottom w:w="28" w:type="dxa"/>
          <w:right w:w="28" w:type="dxa"/>
        </w:tblCellMar>
      </w:tblPr>
      <w:tblGrid>
        <w:gridCol w:w="1147"/>
        <w:gridCol w:w="1006"/>
        <w:gridCol w:w="1012"/>
        <w:gridCol w:w="217"/>
        <w:gridCol w:w="775"/>
        <w:gridCol w:w="112"/>
        <w:gridCol w:w="112"/>
        <w:gridCol w:w="112"/>
        <w:gridCol w:w="112"/>
        <w:gridCol w:w="217"/>
        <w:gridCol w:w="775"/>
        <w:gridCol w:w="159"/>
      </w:tblGrid>
      <w:tr>
        <w:trPr/>
        <w:tc>
          <w:tcPr>
            <w:tcW w:w="114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Reconciliation:</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38,328 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 xml:space="preserve">Gain on Asset Transactions, net </w:t>
            </w:r>
            <w:r>
              <w:rPr>
                <w:rFonts w:ascii="Arial;sans-serif" w:hAnsi="Arial;sans-serif"/>
                <w:b w:val="false"/>
                <w:color w:val="000000"/>
                <w:sz w:val="13"/>
              </w:rPr>
              <w:t>(a)</w:t>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Secondary offering costs</w:t>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 xml:space="preserve">TRA adjustment </w:t>
            </w:r>
            <w:r>
              <w:rPr>
                <w:rFonts w:ascii="Arial;sans-serif" w:hAnsi="Arial;sans-serif"/>
                <w:b w:val="false"/>
                <w:color w:val="000000"/>
                <w:sz w:val="13"/>
              </w:rPr>
              <w:t>(b)</w:t>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11,354 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19,460 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15,328 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77,880 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CellMar>
          <w:top w:w="28" w:type="dxa"/>
          <w:left w:w="28" w:type="dxa"/>
          <w:bottom w:w="28" w:type="dxa"/>
          <w:right w:w="28" w:type="dxa"/>
        </w:tblCellMar>
      </w:tblPr>
      <w:tblGrid>
        <w:gridCol w:w="124"/>
        <w:gridCol w:w="109"/>
        <w:gridCol w:w="109"/>
        <w:gridCol w:w="2933"/>
        <w:gridCol w:w="2860"/>
        <w:gridCol w:w="40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c>
          <w:tcPr>
            <w:tcW w:w="2860"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(a)</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(b)</w:t>
            </w:r>
          </w:p>
        </w:tc>
        <w:tc>
          <w:tcPr>
            <w:tcW w:w="9863" w:type="dxa"/>
            <w:gridSpan w:val="3"/>
            <w:tcBorders/>
            <w:shd w:fill="auto" w:val="clear"/>
            <w:tcMar>
              <w:top w:w="0" w:type="dxa"/>
              <w:left w:w="0" w:type="dxa"/>
              <w:bottom w:w="0" w:type="dxa"/>
              <w:right w:w="0" w:type="dxa"/>
            </w:tcMar>
            <w:vAlign w:val="center"/>
          </w:tcPr>
          <w:p>
            <w:pPr>
              <w:pStyle w:val="TableContents"/>
              <w:spacing w:lineRule="auto" w:line="256" w:before="0" w:after="283"/>
              <w:jc w:val="both"/>
              <w:rPr>
                <w:rFonts w:ascii="Arial;sans-serif" w:hAnsi="Arial;sans-serif"/>
                <w:b w:val="false"/>
                <w:color w:val="000000"/>
                <w:sz w:val="16"/>
              </w:rPr>
            </w:pPr>
            <w:r>
              <w:rPr>
                <w:rFonts w:ascii="Arial;sans-serif" w:hAnsi="Arial;sans-serif"/>
                <w:b w:val="false"/>
                <w:color w:val="000000"/>
                <w:sz w:val="16"/>
              </w:rPr>
              <w:t>This represents the adjustment to the TRA for the period, which is recorded in Non-Operating Income (Expense).</w:t>
            </w:r>
          </w:p>
        </w:tc>
      </w:tr>
    </w:tbl>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CASM and Adjusted CASM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CASM is a key airline cost metric defined as operating expenses divided by total available seat miles. Adjusted CASM is a non-GAAP measure derived from CASM by excluding fuel costs, costs related to our cargo operations, stock-based compensation,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Adjusted CASM further excludes special items and other adjustments, as defined in the relevant reporting period, that are not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tables present the reconciliation of CASM to Adjusted CASM.</w:t>
      </w:r>
    </w:p>
    <w:tbl>
      <w:tblPr>
        <w:tblW w:w="9276" w:type="dxa"/>
        <w:jc w:val="left"/>
        <w:tblInd w:w="0" w:type="dxa"/>
        <w:tblCellMar>
          <w:top w:w="28" w:type="dxa"/>
          <w:left w:w="28" w:type="dxa"/>
          <w:bottom w:w="28" w:type="dxa"/>
          <w:right w:w="28" w:type="dxa"/>
        </w:tblCellMar>
      </w:tblPr>
      <w:tblGrid>
        <w:gridCol w:w="1437"/>
        <w:gridCol w:w="1268"/>
        <w:gridCol w:w="1285"/>
        <w:gridCol w:w="211"/>
        <w:gridCol w:w="856"/>
        <w:gridCol w:w="109"/>
        <w:gridCol w:w="109"/>
        <w:gridCol w:w="109"/>
        <w:gridCol w:w="109"/>
        <w:gridCol w:w="323"/>
        <w:gridCol w:w="323"/>
        <w:gridCol w:w="286"/>
        <w:gridCol w:w="109"/>
        <w:gridCol w:w="109"/>
        <w:gridCol w:w="109"/>
        <w:gridCol w:w="211"/>
        <w:gridCol w:w="856"/>
        <w:gridCol w:w="109"/>
        <w:gridCol w:w="109"/>
        <w:gridCol w:w="109"/>
        <w:gridCol w:w="109"/>
        <w:gridCol w:w="323"/>
        <w:gridCol w:w="323"/>
        <w:gridCol w:w="375"/>
      </w:tblGrid>
      <w:tr>
        <w:trPr/>
        <w:tc>
          <w:tcPr>
            <w:tcW w:w="1437"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6"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Operating</w:t>
              <w:br/>
              <w:t>Expenses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Per ASM</w:t>
              <w:br/>
              <w:t>(in cents)</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Aircraft Fuel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Compensation Expense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Cargo expenses, not already adjusted above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Sun Country Vacations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CASM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ASM (thousands)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1,945,001 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primary sources of liquidity as of March 31, 2023 included our existing cash and cash equivalents of $71,587 and short-term investments of $171,638, our expected cash generated from operations, and the $24,650 of available funds from the Revolving Credit Facility. In addition, we had restricted cash of $22,776 as of March 31, 2023, which generally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 As of March 31, 2023, the Company's restricted cash balance also included $13,103 that was deposited in relation to the purchase of the two remaining Aircraft Held for Operating Lease. Upon acquisition, the deposited amounts were remitted to the seller.</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primary uses of liquidity are for operating expenses, capital expenditures, lease rentals and maintenance reserve deposits, debt repayments, working capital requirements, and other general corporate purposes. Our single largest capital expenditure requirement relates to the acquisition of aircraft, which we have historically acquired through operating leases, finance leases, and debt. Our management team retains broad discretion to allocate liquidity.</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 </w:t>
      </w:r>
    </w:p>
    <w:p>
      <w:pPr>
        <w:pStyle w:val="TextBody"/>
        <w:spacing w:lineRule="auto" w:line="288" w:before="240" w:after="283"/>
        <w:jc w:val="both"/>
        <w:rPr/>
      </w:pPr>
      <w:r>
        <w:rPr>
          <w:rFonts w:ascii="Arial;sans-serif" w:hAnsi="Arial;sans-serif"/>
          <w:b/>
          <w:color w:val="000000"/>
          <w:sz w:val="20"/>
        </w:rPr>
        <w:t>Aircraft</w:t>
      </w:r>
      <w:r>
        <w:rPr>
          <w:color w:val="000000"/>
        </w:rPr>
        <w:t xml:space="preserve"> – </w:t>
      </w:r>
      <w:r>
        <w:rPr>
          <w:rFonts w:ascii="Arial;sans-serif" w:hAnsi="Arial;sans-serif"/>
          <w:b w:val="false"/>
          <w:color w:val="000000"/>
          <w:sz w:val="20"/>
        </w:rPr>
        <w:t xml:space="preserve">As of March 31, 2023, our fleet consisted of 57 Boeing 737-NG aircraft. This includes 42 aircraft in the passenger fleet, 12 cargo operated aircraft through the ATSA, and three Aircraft Held for Operating Lease.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2023, the Company entered into an agreement to acquire five Aircraft Held for Operating Lease. On March 29, 2023, the Company acquired three of the Aircraft Held for Operating Lease for total consideration of approximately $95,000. On April 4, 2023, the Company completed the transaction resulting in the acquisition of the two additional Aircraft Held for Operating Lease for total consideration of approximately $63,000. Upon purchase, the Company obtained outright ownership of the Aircraft Held for Operating Lease and assumed the position of lessor until the end of the lease terms. On each lease expiry date, the Aircraft Held for Operating Lease will be redelivered to Sun Country and is expected to be inducted into the Company’s fleet.</w:t>
      </w:r>
    </w:p>
    <w:p>
      <w:pPr>
        <w:pStyle w:val="TextBody"/>
        <w:spacing w:lineRule="auto" w:line="288" w:before="240" w:after="283"/>
        <w:jc w:val="both"/>
        <w:rPr/>
      </w:pPr>
      <w:r>
        <w:rPr>
          <w:rFonts w:ascii="Arial;sans-serif" w:hAnsi="Arial;sans-serif"/>
          <w:b w:val="false"/>
          <w:color w:val="000000"/>
          <w:sz w:val="20"/>
        </w:rPr>
        <w:t xml:space="preserve">We may finance additional aircraft through debt financing or finance leases based on market conditions, our prevailing level of liquidity and capital market availability. We may also enter into new operating leases on an opportunistic basis. For more information on our fleet, see </w:t>
      </w:r>
      <w:hyperlink w:anchor="i2b162e4fbd8a45798bfaba84fde8af40_49">
        <w:r>
          <w:rPr>
            <w:rStyle w:val="InternetLink"/>
            <w:rFonts w:ascii="Arial;sans-serif" w:hAnsi="Arial;sans-serif"/>
            <w:b w:val="false"/>
            <w:color w:val="0000FF"/>
            <w:sz w:val="20"/>
            <w:u w:val="single"/>
          </w:rPr>
          <w:t>Note 5</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spacing w:lineRule="auto" w:line="288" w:before="240" w:after="283"/>
        <w:jc w:val="both"/>
        <w:rPr/>
      </w:pPr>
      <w:r>
        <w:rPr>
          <w:rFonts w:ascii="Arial;sans-serif" w:hAnsi="Arial;sans-serif"/>
          <w:b/>
          <w:color w:val="000000"/>
          <w:sz w:val="20"/>
        </w:rPr>
        <w:t>Maintenance Deposits</w:t>
      </w:r>
      <w:r>
        <w:rPr>
          <w:color w:val="000000"/>
        </w:rPr>
        <w:t xml:space="preserve"> </w:t>
      </w:r>
      <w:r>
        <w:rPr>
          <w:rFonts w:ascii="Arial;sans-serif" w:hAnsi="Arial;sans-serif"/>
          <w:b w:val="false"/>
          <w:color w:val="000000"/>
          <w:sz w:val="20"/>
        </w:rPr>
        <w:t xml:space="preserve">- In addition to funding the acquisition of aircraft, we are required by certain of our aircraft lessors to fund reserves in cash in advance for scheduled maintenance to act as collateral for the benefit of lessors. Qualifying payments that are expected to be recovered from lessors are recorded as Lessor Maintenance Deposits on our Condensed Consolidated Balance Sheets. As of March 31, 2023, we had $36,532 of total Lessor Maintenance Deposits. </w:t>
      </w:r>
    </w:p>
    <w:p>
      <w:pPr>
        <w:pStyle w:val="TextBody"/>
        <w:spacing w:lineRule="auto" w:line="288" w:before="240" w:after="283"/>
        <w:jc w:val="both"/>
        <w:rPr/>
      </w:pPr>
      <w:r>
        <w:rPr>
          <w:rFonts w:ascii="Arial;sans-serif" w:hAnsi="Arial;sans-serif"/>
          <w:b/>
          <w:color w:val="000000"/>
          <w:sz w:val="20"/>
        </w:rPr>
        <w:t xml:space="preserve">Investments </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The Company invests its cash and cash equivalents in highly liquid securities with strong credit ratings. As of March 31, 2023, the Company held $165,277 of debt securities, all of which are classified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 also holds $6,361 of Certificates of Deposit that are included in Investments on the Condensed Consolidated Balance Sheets as of March 31, 2023. </w:t>
      </w:r>
    </w:p>
    <w:p>
      <w:pPr>
        <w:pStyle w:val="TextBody"/>
        <w:spacing w:lineRule="auto" w:line="288" w:before="240" w:after="283"/>
        <w:jc w:val="both"/>
        <w:rPr/>
      </w:pPr>
      <w:r>
        <w:rPr>
          <w:rFonts w:ascii="Arial;sans-serif" w:hAnsi="Arial;sans-serif"/>
          <w:b/>
          <w:color w:val="000000"/>
          <w:sz w:val="20"/>
        </w:rPr>
        <w:t xml:space="preserve">CARES Act </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During the twelve months ended June 30, 2022, the compensation payable to an executive officer temporarily exceeded the restrictions on the payment of certain executive compensation under the CARES Act. Once the issue was identified, the executive officer voluntarily rescinded the unvested portion of the equity grant that caused the executive’s compensation to exceed the CARES Act limit. At no point did the executive's cash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compensation and equity awards that could be monetized exceed the CARES Act limit. The Company did not accrue any amounts related to this matter as of March 31, 2023. To the extent we are deemed to have failed to remain in full compliance with the CARES Act and the applicable rules and regulations thereunder, we may become subject to fines or other enforcement actions.</w:t>
      </w:r>
    </w:p>
    <w:p>
      <w:pPr>
        <w:pStyle w:val="TextBody"/>
        <w:spacing w:lineRule="auto" w:line="288" w:before="240" w:after="283"/>
        <w:jc w:val="both"/>
        <w:rPr/>
      </w:pPr>
      <w:r>
        <w:rPr>
          <w:rFonts w:ascii="Arial;sans-serif" w:hAnsi="Arial;sans-serif"/>
          <w:b/>
          <w:color w:val="000000"/>
          <w:sz w:val="20"/>
        </w:rPr>
        <w:t>Credit Facilities</w:t>
      </w:r>
      <w:r>
        <w:rPr>
          <w:color w:val="000000"/>
        </w:rPr>
        <w:t xml:space="preserve"> </w:t>
      </w:r>
      <w:r>
        <w:rPr>
          <w:rFonts w:ascii="Arial;sans-serif" w:hAnsi="Arial;sans-serif"/>
          <w:b w:val="false"/>
          <w:color w:val="000000"/>
          <w:sz w:val="20"/>
        </w:rPr>
        <w:t xml:space="preserve">- The Company uses its Credit Facilities to provide liquidity support for general corporate purposes and to finance the acquisition of aircraft.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As of March 31, 2023, the Company had $24,650 of the $25,000 Revolving Credit Facility available due to $350 being pledged to support a letter of credit, and no balance drawn. The Credit Agreement includes financial covenants that require a minimum trailing 12-month EBITDAR ($87,700 as of March 31, 2022 and beyond) and a minimum liquidity of $30,000 at the close of any business day. The Company was in compliance with these covenants as of March 31, 2023. </w:t>
      </w:r>
    </w:p>
    <w:p>
      <w:pPr>
        <w:pStyle w:val="TextBody"/>
        <w:spacing w:lineRule="auto" w:line="288" w:before="240" w:after="283"/>
        <w:jc w:val="both"/>
        <w:rPr/>
      </w:pPr>
      <w:r>
        <w:rPr>
          <w:rFonts w:ascii="Arial;sans-serif" w:hAnsi="Arial;sans-serif"/>
          <w:b/>
          <w:color w:val="000000"/>
          <w:sz w:val="20"/>
        </w:rPr>
        <w:t>Debt</w:t>
      </w:r>
      <w:r>
        <w:rPr>
          <w:color w:val="000000"/>
        </w:rPr>
        <w:t xml:space="preserve"> </w:t>
      </w:r>
      <w:r>
        <w:rPr>
          <w:rFonts w:ascii="Arial;sans-serif" w:hAnsi="Arial;sans-serif"/>
          <w:b w:val="false"/>
          <w:color w:val="000000"/>
          <w:sz w:val="20"/>
        </w:rPr>
        <w:t>- At our discretion, we obtain debt financing through the issuance of pass-through trust certificates to purchase, or refinance, aircraft. In December 2019, we issued the 2019-1 EETC, for the purpose of financing or refinancing 13 used aircraft. In March 2022, the Company issued the 2022-1 EETC for the purpose of financing or refinancing 13 aircraft.</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2023, the Company executed a term loan credit facility with a face amount of $119,200 for the purpose of financing the five Aircraft Held for Operating Lease. The loan is to be repaid monthly over 7 years. During the lease term, payments collected from the lessee will be applied directly to the repayment of principal and interest on the term loan credit facility. The Aircraft Held for Operating Lease, as well as the related lease payments received from the lessee, are pledged as collateral. During the three months ended March 31, 2023, the Company received gross proceeds of $71,280 with respect to three of the Aircraft Held for Operating Lease. An incremental $47,920 of gross proceeds were received subsequent to March 31, 2023 upon the completion of the transaction resulting in the acquisition of two additional Aircraft Held for Operating Lease.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at the end of the lease term and a LTV ratio calculation is completed. The interest rate in effect as of March 31, 2023 on the term loan was 8.6%. To the extent that the LTV exceeds 75%, a principal prepayment will be required in order to reduce the ratio to 75%. Amounts received under the end of lease maintenance compensation clause may be applied towards the LTV payment. </w:t>
      </w:r>
    </w:p>
    <w:p>
      <w:pPr>
        <w:pStyle w:val="TextBody"/>
        <w:spacing w:lineRule="auto" w:line="288" w:before="240" w:after="283"/>
        <w:jc w:val="both"/>
        <w:rPr/>
      </w:pPr>
      <w:r>
        <w:rPr>
          <w:rFonts w:ascii="Arial;sans-serif" w:hAnsi="Arial;sans-serif"/>
          <w:b w:val="false"/>
          <w:color w:val="000000"/>
          <w:sz w:val="20"/>
        </w:rPr>
        <w:t xml:space="preserve">For more information on our credit facilities or debt, see </w:t>
      </w:r>
      <w:hyperlink w:anchor="i2b162e4fbd8a45798bfaba84fde8af40_52">
        <w:r>
          <w:rPr>
            <w:rStyle w:val="InternetLink"/>
            <w:rFonts w:ascii="Arial;sans-serif" w:hAnsi="Arial;sans-serif"/>
            <w:b w:val="false"/>
            <w:color w:val="0000FF"/>
            <w:sz w:val="20"/>
            <w:u w:val="single"/>
          </w:rPr>
          <w:t>Note 7</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spacing w:lineRule="auto" w:line="288" w:before="240" w:after="283"/>
        <w:jc w:val="both"/>
        <w:rPr/>
      </w:pPr>
      <w:r>
        <w:rPr>
          <w:rFonts w:ascii="Arial;sans-serif" w:hAnsi="Arial;sans-serif"/>
          <w:b/>
          <w:color w:val="000000"/>
          <w:sz w:val="20"/>
        </w:rPr>
        <w:t xml:space="preserve">TRA Liability - </w:t>
      </w:r>
      <w:r>
        <w:rPr>
          <w:rFonts w:ascii="Arial;sans-serif" w:hAnsi="Arial;sans-serif"/>
          <w:b w:val="false"/>
          <w:color w:val="000000"/>
          <w:sz w:val="20"/>
        </w:rPr>
        <w:t xml:space="preserve">During the three months ended March 31, 2023, the Company made a payment of $2,425 to the TRA holders. Payments will be made in future periods as Pre-IPO Tax Attributes are utilized. For more information on the TRA liability, see </w:t>
      </w:r>
      <w:hyperlink w:anchor="i2b162e4fbd8a45798bfaba84fde8af40_64">
        <w:r>
          <w:rPr>
            <w:rStyle w:val="InternetLink"/>
            <w:rFonts w:ascii="Arial;sans-serif" w:hAnsi="Arial;sans-serif"/>
            <w:b w:val="false"/>
            <w:color w:val="0000FF"/>
            <w:sz w:val="20"/>
            <w:u w:val="single"/>
          </w:rPr>
          <w:t>Note 10</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table below presents the major indicators of financial condition and liquidity:</w:t>
      </w:r>
    </w:p>
    <w:tbl>
      <w:tblPr>
        <w:tblW w:w="7683" w:type="dxa"/>
        <w:jc w:val="left"/>
        <w:tblInd w:w="0" w:type="dxa"/>
        <w:tblCellMar>
          <w:top w:w="28" w:type="dxa"/>
          <w:left w:w="28" w:type="dxa"/>
          <w:bottom w:w="28" w:type="dxa"/>
          <w:right w:w="28" w:type="dxa"/>
        </w:tblCellMar>
      </w:tblPr>
      <w:tblGrid>
        <w:gridCol w:w="1591"/>
        <w:gridCol w:w="1397"/>
        <w:gridCol w:w="1407"/>
        <w:gridCol w:w="211"/>
        <w:gridCol w:w="1021"/>
        <w:gridCol w:w="109"/>
        <w:gridCol w:w="109"/>
        <w:gridCol w:w="109"/>
        <w:gridCol w:w="109"/>
        <w:gridCol w:w="246"/>
        <w:gridCol w:w="1194"/>
        <w:gridCol w:w="180"/>
      </w:tblGrid>
      <w:tr>
        <w:trPr/>
        <w:tc>
          <w:tcPr>
            <w:tcW w:w="1591"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92,086 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172,635 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 Available Under Revolving Credit Facility</w:t>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Liquidity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289,371 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352,235 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w:t>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247,019 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251,296 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Obligations</w:t>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26,132 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Debt, net, and Lease Obligations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629,663 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2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492,712 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Invested Capital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1,122,375 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Debt-to-Capital</w:t>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Sources and Uses of Liquidity</w:t>
      </w:r>
    </w:p>
    <w:tbl>
      <w:tblPr>
        <w:tblW w:w="9276" w:type="dxa"/>
        <w:jc w:val="left"/>
        <w:tblInd w:w="0" w:type="dxa"/>
        <w:tblCellMar>
          <w:top w:w="28" w:type="dxa"/>
          <w:left w:w="28" w:type="dxa"/>
          <w:bottom w:w="28" w:type="dxa"/>
          <w:right w:w="28" w:type="dxa"/>
        </w:tblCellMar>
      </w:tblPr>
      <w:tblGrid>
        <w:gridCol w:w="1451"/>
        <w:gridCol w:w="1275"/>
        <w:gridCol w:w="1279"/>
        <w:gridCol w:w="212"/>
        <w:gridCol w:w="757"/>
        <w:gridCol w:w="109"/>
        <w:gridCol w:w="109"/>
        <w:gridCol w:w="109"/>
        <w:gridCol w:w="109"/>
        <w:gridCol w:w="212"/>
        <w:gridCol w:w="818"/>
        <w:gridCol w:w="109"/>
        <w:gridCol w:w="109"/>
        <w:gridCol w:w="109"/>
        <w:gridCol w:w="109"/>
        <w:gridCol w:w="211"/>
        <w:gridCol w:w="751"/>
        <w:gridCol w:w="109"/>
        <w:gridCol w:w="109"/>
        <w:gridCol w:w="109"/>
        <w:gridCol w:w="109"/>
        <w:gridCol w:w="269"/>
        <w:gridCol w:w="271"/>
        <w:gridCol w:w="462"/>
      </w:tblGrid>
      <w:tr>
        <w:trPr/>
        <w:tc>
          <w:tcPr>
            <w:tcW w:w="1451"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000000"/>
                <w:sz w:val="16"/>
              </w:rPr>
            </w:pPr>
            <w:r>
              <w:rPr>
                <w:rFonts w:ascii="Arial;sans-serif" w:hAnsi="Arial;sans-serif"/>
                <w:b/>
                <w:color w:val="000000"/>
                <w:sz w:val="16"/>
              </w:rPr>
              <w:t>%</w:t>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Investing Activities: </w:t>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Property &amp; Equipment</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(104,978)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4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the Maturities of Investments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Investing Activities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Financing Activities: </w:t>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Repurchases</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Borrowings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4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Finance Lease Obligations</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6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Repayment of Borrowings</w:t>
            </w:r>
          </w:p>
        </w:tc>
        <w:tc>
          <w:tcPr>
            <w:tcW w:w="9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w:t>
            </w:r>
          </w:p>
        </w:tc>
        <w:tc>
          <w:tcPr>
            <w:tcW w:w="4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6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46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Financing Activities</w:t>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consists of Cash, Cash Equivalents and Restricted Cash</w:t>
      </w:r>
    </w:p>
    <w:p>
      <w:pPr>
        <w:pStyle w:val="TextBody"/>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"NM" stands for not meaningful</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Operating Cash Flow Activities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Operating activities in the three months ended March 31, 2023 provided $47,861, as compared to providing $18,213 during the three months ended March 31, 2022. During the three months ended March 31, 2023 and 2022, our Net Income was $38,328 and $3,637, respectively.</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operating cash flow is primarily impacted by the following factors:</w:t>
      </w:r>
    </w:p>
    <w:p>
      <w:pPr>
        <w:pStyle w:val="TextBody"/>
        <w:spacing w:lineRule="auto" w:line="288" w:before="240" w:after="283"/>
        <w:jc w:val="both"/>
        <w:rPr/>
      </w:pPr>
      <w:r>
        <w:rPr>
          <w:rFonts w:ascii="Arial;sans-serif" w:hAnsi="Arial;sans-serif"/>
          <w:b w:val="false"/>
          <w:i/>
          <w:color w:val="000000"/>
          <w:sz w:val="20"/>
        </w:rPr>
        <w:t>Seasonality of Advance Ticket Sales.</w:t>
      </w:r>
      <w:r>
        <w:rPr>
          <w:color w:val="000000"/>
        </w:rPr>
        <w:t xml:space="preserve"> </w:t>
      </w:r>
      <w:r>
        <w:rPr>
          <w:rFonts w:ascii="Arial;sans-serif" w:hAnsi="Arial;sans-serif"/>
          <w:b w:val="false"/>
          <w:color w:val="000000"/>
          <w:sz w:val="20"/>
        </w:rPr>
        <w:t>We sell tickets for air travel in advance of the customer's travel date. When we receive a cash payment 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r>
        <w:rPr>
          <w:color w:val="000000"/>
        </w:rPr>
        <w:t xml:space="preserve"> </w:t>
      </w:r>
      <w:r>
        <w:rPr>
          <w:rFonts w:ascii="Arial;sans-serif" w:hAnsi="Arial;sans-serif"/>
          <w:b w:val="false"/>
          <w:color w:val="000000"/>
          <w:sz w:val="20"/>
        </w:rPr>
        <w:t>Most tickets can be purchased no more than twelve months in advance, therefore any revenue associated with tickets sold for future travel will be recognized within that timeframe. For the three months ended March 31, 2023, $123,574 of revenue recognized in Passenger revenue was included in the $157,995 of Air Traffic Liabilities as of December 31, 2022. The balance of Air Traffic Liabilities increased year-over-year by 28% to $141,613 as of March 31, 2023. This is due to increased demand for passenger services, which has also resulted in higher per unit revenues.</w:t>
      </w:r>
    </w:p>
    <w:p>
      <w:pPr>
        <w:pStyle w:val="TextBody"/>
        <w:spacing w:lineRule="auto" w:line="288" w:before="240" w:after="283"/>
        <w:jc w:val="both"/>
        <w:rPr/>
      </w:pPr>
      <w:r>
        <w:rPr>
          <w:rFonts w:ascii="Arial;sans-serif" w:hAnsi="Arial;sans-serif"/>
          <w:b w:val="false"/>
          <w:i/>
          <w:color w:val="000000"/>
          <w:sz w:val="20"/>
        </w:rPr>
        <w:t>Aircraft Fuel.</w:t>
      </w:r>
      <w:r>
        <w:rPr>
          <w:color w:val="000000"/>
        </w:rPr>
        <w:t xml:space="preserve"> </w:t>
      </w:r>
      <w:r>
        <w:rPr>
          <w:rFonts w:ascii="Arial;sans-serif" w:hAnsi="Arial;sans-serif"/>
          <w:b w:val="false"/>
          <w:color w:val="000000"/>
          <w:sz w:val="20"/>
        </w:rPr>
        <w:t>Aircraft Fuel expense represented approximately 30% and 32% of our total operating expense for the three months ended March 31, 2023 and 2022, respectively. The market price for jet fuel is volatile, which can impact the comparability of our periodic cash flows from operations. Fuel consumption increased by 4% during the three months ended March 31, 2023 compared to prior year. Additionally, the cost per gallon increased by 8% year-over-year due to current market conditions, which continue to be impacted by global geopolitical events. We expect jet fuel prices to remain volatile throughout 2023.</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Investing Cash Flow Activities</w:t>
      </w:r>
    </w:p>
    <w:p>
      <w:pPr>
        <w:pStyle w:val="TextBody"/>
        <w:spacing w:lineRule="auto" w:line="288" w:before="240" w:after="283"/>
        <w:jc w:val="both"/>
        <w:rPr/>
      </w:pPr>
      <w:r>
        <w:rPr>
          <w:rFonts w:ascii="Arial;sans-serif" w:hAnsi="Arial;sans-serif"/>
          <w:b w:val="false"/>
          <w:i/>
          <w:color w:val="000000"/>
          <w:sz w:val="20"/>
        </w:rPr>
        <w:t>Capital</w:t>
      </w:r>
      <w:r>
        <w:rPr>
          <w:color w:val="000000"/>
        </w:rPr>
        <w:t xml:space="preserve"> </w:t>
      </w:r>
      <w:r>
        <w:rPr>
          <w:rFonts w:ascii="Arial;sans-serif" w:hAnsi="Arial;sans-serif"/>
          <w:b w:val="false"/>
          <w:i/>
          <w:color w:val="000000"/>
          <w:sz w:val="20"/>
        </w:rPr>
        <w:t>Expenditures.</w:t>
      </w:r>
      <w:r>
        <w:rPr>
          <w:color w:val="000000"/>
        </w:rPr>
        <w:t xml:space="preserve"> </w:t>
      </w:r>
      <w:r>
        <w:rPr>
          <w:rFonts w:ascii="Arial;sans-serif" w:hAnsi="Arial;sans-serif"/>
          <w:b w:val="false"/>
          <w:color w:val="000000"/>
          <w:sz w:val="20"/>
        </w:rPr>
        <w:t>Our capital expenditures were $104,978 and $49,683 for the three months ended March 31, 2023 and 2022, respectively. Our capital expenditures during the three months ended March 31, 2023 primarily included the purchase of three Aircraft Held for Operating Lease and one spare engine. Our capital expenditures during the three months ended March 31, 2022 primarily included the purchase of one incremental aircraft, the purchase of three spare engines, the first installment payment to purchase a flight simulator, and other miscellaneous projects.</w:t>
      </w:r>
    </w:p>
    <w:p>
      <w:pPr>
        <w:pStyle w:val="TextBody"/>
        <w:spacing w:lineRule="auto" w:line="288" w:before="240" w:after="283"/>
        <w:jc w:val="both"/>
        <w:rPr/>
      </w:pPr>
      <w:r>
        <w:rPr>
          <w:rFonts w:ascii="Arial;sans-serif" w:hAnsi="Arial;sans-serif"/>
          <w:b w:val="false"/>
          <w:i/>
          <w:color w:val="000000"/>
          <w:sz w:val="20"/>
        </w:rPr>
        <w:t>Investments.</w:t>
      </w:r>
      <w:r>
        <w:rPr>
          <w:color w:val="000000"/>
        </w:rPr>
        <w:t xml:space="preserve"> </w:t>
      </w:r>
      <w:r>
        <w:rPr>
          <w:rFonts w:ascii="Arial;sans-serif" w:hAnsi="Arial;sans-serif"/>
          <w:b w:val="false"/>
          <w:color w:val="000000"/>
          <w:sz w:val="20"/>
        </w:rPr>
        <w:t xml:space="preserve">During three months ended March 31, 2023, the Company's net investment activity resulted in cash inflows of $8,612. This was the result of a change in investment strategy during the second quarter of 2022, which led to the purchase of debt securities. Proceeds from maturing securities exceeded purchases during the three months ended March 31, 2023. </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Financing Cash Flow Activities</w:t>
      </w:r>
    </w:p>
    <w:p>
      <w:pPr>
        <w:pStyle w:val="TextBody"/>
        <w:spacing w:lineRule="auto" w:line="288" w:before="240" w:after="283"/>
        <w:jc w:val="both"/>
        <w:rPr/>
      </w:pPr>
      <w:r>
        <w:rPr>
          <w:rFonts w:ascii="Arial;sans-serif" w:hAnsi="Arial;sans-serif"/>
          <w:b w:val="false"/>
          <w:i/>
          <w:color w:val="000000"/>
          <w:sz w:val="20"/>
        </w:rPr>
        <w:t>Debt</w:t>
      </w:r>
      <w:r>
        <w:rPr>
          <w:rFonts w:ascii="Arial;sans-serif" w:hAnsi="Arial;sans-serif"/>
          <w:b w:val="false"/>
          <w:color w:val="000000"/>
          <w:sz w:val="20"/>
        </w:rPr>
        <w:t xml:space="preserve">. During the three months ended March 31, 2023, the Company executed a term loan credit facility with a face amount of $119,200 for the purpose of financing the five Aircraft Held for Operating Lease. The Company received gross proceeds of $71,280 with respect to three of the Aircraft Held for Operating Lease during the three months ended March 31, 2023. In March 2022, the Company arranged for the issuance of the 2022-1 EETC in an aggregate face amount of $188,277 for the purpose of financing or refinancing 13 aircraft. Five of these aircraft were owned fleet assets previously financed by the DDTL, which was repaid with the proceeds from the 2022-1 EETC.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SUN COUNTRY AIRLINES HOLDINGS, INC</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(Dollars in thousands, except per share amounts)</w:t>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(Unaudited)</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pPr>
      <w:r>
        <w:rPr>
          <w:rFonts w:ascii="Arial;sans-serif" w:hAnsi="Arial;sans-serif"/>
          <w:b w:val="false"/>
          <w:i/>
          <w:color w:val="000000"/>
          <w:sz w:val="20"/>
        </w:rPr>
        <w:t>Finance Leases</w:t>
      </w:r>
      <w:r>
        <w:rPr>
          <w:rFonts w:ascii="Arial;sans-serif" w:hAnsi="Arial;sans-serif"/>
          <w:b w:val="false"/>
          <w:color w:val="000000"/>
          <w:sz w:val="20"/>
        </w:rPr>
        <w:t xml:space="preserve">. The year-over-year decrease was impacted by the change in the composition of our fleet that resulted in a decrease in the number of aircraft operated under finance leases. As of March 31, 2023 and 2022, there were 11 and 12 finance leases, respectively. </w:t>
      </w:r>
    </w:p>
    <w:p>
      <w:pPr>
        <w:pStyle w:val="TextBody"/>
        <w:spacing w:lineRule="auto" w:line="288" w:before="240" w:after="283"/>
        <w:jc w:val="both"/>
        <w:rPr/>
      </w:pPr>
      <w:r>
        <w:rPr>
          <w:rFonts w:ascii="Arial;sans-serif" w:hAnsi="Arial;sans-serif"/>
          <w:b w:val="false"/>
          <w:i/>
          <w:color w:val="000000"/>
          <w:sz w:val="20"/>
        </w:rPr>
        <w:t xml:space="preserve">Common Stock Repurchases. </w:t>
      </w:r>
      <w:r>
        <w:rPr>
          <w:rFonts w:ascii="Arial;sans-serif" w:hAnsi="Arial;sans-serif"/>
          <w:b w:val="false"/>
          <w:color w:val="000000"/>
          <w:sz w:val="20"/>
        </w:rPr>
        <w:t xml:space="preserve">During the three months ended March 31, 2023 the Company repurchased 750,000 shares of its Common Stock at a total cost of $14,812, or $19.75 per share. The repurchase was part of a secondary public offering of the Company's shares by an affiliate of certain investment funds managed by affiliates of Apollo. For more information on the stock repurchase program and this purchase, see </w:t>
      </w:r>
      <w:hyperlink w:anchor="i2b162e4fbd8a45798bfaba84fde8af40_547">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of the Condensed Consolidated Financial Statements included in Part I, Item I of this report.</w:t>
      </w:r>
    </w:p>
    <w:p>
      <w:pPr>
        <w:pStyle w:val="TextBody"/>
        <w:spacing w:lineRule="auto" w:line="288" w:before="240" w:after="283"/>
        <w:jc w:val="both"/>
        <w:rPr/>
      </w:pPr>
      <w:r>
        <w:rPr>
          <w:rFonts w:ascii="Arial;sans-serif" w:hAnsi="Arial;sans-serif"/>
          <w:b w:val="false"/>
          <w:i/>
          <w:color w:val="000000"/>
          <w:sz w:val="20"/>
        </w:rPr>
        <w:t>Other.</w:t>
      </w:r>
      <w:r>
        <w:rPr>
          <w:color w:val="000000"/>
        </w:rPr>
        <w:t xml:space="preserve"> </w:t>
      </w:r>
      <w:r>
        <w:rPr>
          <w:rFonts w:ascii="Arial;sans-serif" w:hAnsi="Arial;sans-serif"/>
          <w:b w:val="false"/>
          <w:color w:val="000000"/>
          <w:sz w:val="20"/>
        </w:rPr>
        <w:t xml:space="preserve">During the three months ended March 31, 2023, the Company made a payment of $2,425 to the TRA holders.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 xml:space="preserve">Off Balance Sheet Arrangements </w:t>
      </w:r>
    </w:p>
    <w:p>
      <w:pPr>
        <w:pStyle w:val="TextBody"/>
        <w:spacing w:lineRule="auto" w:line="288" w:before="240" w:after="283"/>
        <w:jc w:val="both"/>
        <w:rPr/>
      </w:pPr>
      <w:r>
        <w:rPr>
          <w:rFonts w:ascii="Arial;sans-serif" w:hAnsi="Arial;sans-serif"/>
          <w:b w:val="false"/>
          <w:color w:val="000000"/>
          <w:sz w:val="20"/>
        </w:rPr>
        <w:t xml:space="preserve">For a detailed discussion on the nature of the Company's Off Balance Sheet Arrangements, see “Management’s Discussion and Analysis of Operations” in Part II, </w:t>
      </w:r>
      <w:r>
        <w:fldChar w:fldCharType="begin"/>
      </w:r>
      <w:r>
        <w:rPr>
          <w:rStyle w:val="InternetLink"/>
          <w:sz w:val="20"/>
          <w:u w:val="single"/>
          <w:b w:val="false"/>
          <w:rFonts w:ascii="Arial;sans-serif" w:hAnsi="Arial;sans-serif"/>
        </w:rPr>
        <w:instrText> HYPERLINK "https://www.sec.gov/ix?doc=/Archives/edgar/data/1743907/000174390723000009/sncy-20221231.htm" \l "i684c337f82b14842ad2d4798d3d17a69_49"</w:instrText>
      </w:r>
      <w:r>
        <w:rPr>
          <w:rStyle w:val="InternetLink"/>
          <w:sz w:val="20"/>
          <w:u w:val="single"/>
          <w:b w:val="false"/>
          <w:rFonts w:ascii="Arial;sans-serif" w:hAnsi="Arial;sans-seri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rPr>
        <w:fldChar w:fldCharType="end"/>
      </w:r>
      <w:r>
        <w:rPr>
          <w:color w:val="000000"/>
        </w:rPr>
        <w:t xml:space="preserve"> </w:t>
      </w:r>
      <w:r>
        <w:rPr>
          <w:rFonts w:ascii="Arial;sans-serif" w:hAnsi="Arial;sans-serif"/>
          <w:b w:val="false"/>
          <w:color w:val="000000"/>
          <w:sz w:val="20"/>
        </w:rPr>
        <w:t>in our 2022 10-K. There have been no material changes to the Company's Off Balance Sheet Arrangements as compared to the 2022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 xml:space="preserve">Commitments and Contractual Obligations </w:t>
      </w:r>
    </w:p>
    <w:p>
      <w:pPr>
        <w:pStyle w:val="TextBody"/>
        <w:spacing w:lineRule="auto" w:line="288" w:before="240" w:after="283"/>
        <w:jc w:val="both"/>
        <w:rPr/>
      </w:pPr>
      <w:r>
        <w:rPr>
          <w:rFonts w:ascii="Arial;sans-serif" w:hAnsi="Arial;sans-serif"/>
          <w:b w:val="false"/>
          <w:color w:val="000000"/>
          <w:sz w:val="20"/>
        </w:rPr>
        <w:t xml:space="preserve">See </w:t>
      </w:r>
      <w:hyperlink w:anchor="i2b162e4fbd8a45798bfaba84fde8af40_678">
        <w:r>
          <w:rPr>
            <w:rStyle w:val="InternetLink"/>
            <w:rFonts w:ascii="Arial;sans-serif" w:hAnsi="Arial;sans-serif"/>
            <w:b w:val="false"/>
            <w:color w:val="0000FF"/>
            <w:sz w:val="20"/>
            <w:u w:val="single"/>
          </w:rPr>
          <w:t>Note 6</w:t>
        </w:r>
      </w:hyperlink>
      <w:r>
        <w:rPr>
          <w:color w:val="000000"/>
        </w:rPr>
        <w:t xml:space="preserve"> </w:t>
      </w:r>
      <w:r>
        <w:rPr>
          <w:rFonts w:ascii="Arial;sans-serif" w:hAnsi="Arial;sans-serif"/>
          <w:b w:val="false"/>
          <w:color w:val="000000"/>
          <w:sz w:val="20"/>
        </w:rPr>
        <w:t xml:space="preserve">and </w:t>
      </w:r>
      <w:hyperlink w:anchor="i2b162e4fbd8a45798bfaba84fde8af40_70">
        <w:r>
          <w:rPr>
            <w:rStyle w:val="InternetLink"/>
            <w:rFonts w:ascii="Arial;sans-serif" w:hAnsi="Arial;sans-serif"/>
            <w:b w:val="false"/>
            <w:color w:val="0000FF"/>
            <w:sz w:val="20"/>
            <w:u w:val="single"/>
          </w:rPr>
          <w:t>Note 12</w:t>
        </w:r>
      </w:hyperlink>
      <w:r>
        <w:rPr>
          <w:color w:val="000000"/>
        </w:rPr>
        <w:t xml:space="preserve"> </w:t>
      </w:r>
      <w:r>
        <w:rPr>
          <w:rFonts w:ascii="Arial;sans-serif" w:hAnsi="Arial;sans-serif"/>
          <w:b w:val="false"/>
          <w:color w:val="000000"/>
          <w:sz w:val="20"/>
        </w:rPr>
        <w:t>to our Condensed Consolidated Financial Statements included elsewhere in this Quarterly Report on Form 10-Q for more information regarding commitments and contractual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Recently Adopted Accounting Pronouncements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2023, there were no recently adopted accounting standards that had a material impact to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spacing w:lineRule="auto" w:line="288" w:before="240" w:after="283"/>
        <w:jc w:val="both"/>
        <w:rPr/>
      </w:pPr>
      <w:r>
        <w:rPr>
          <w:rFonts w:ascii="Arial;sans-serif" w:hAnsi="Arial;sans-serif"/>
          <w:b w:val="false"/>
          <w:color w:val="000000"/>
          <w:sz w:val="20"/>
        </w:rPr>
        <w:t xml:space="preserve">Our unaudited Condensed Consolidated Financial Statements and the accompanying notes thereto included elsewhere in this Quarterly Report on Form 10-Q are prepared in accordance with GAAP. The preparation of the Condensed Consolidated Financial Statements requires us to make estimates and assumptions that affect the reported amounts of assets, liabilities, revenue, expenses,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For more information on our critical accounting policies, see “Management’s Discussion and Analysis of Operations” sections within Part II, </w:t>
      </w:r>
      <w:r>
        <w:fldChar w:fldCharType="begin"/>
      </w:r>
      <w:r>
        <w:rPr>
          <w:rStyle w:val="InternetLink"/>
          <w:sz w:val="20"/>
          <w:u w:val="single"/>
          <w:b w:val="false"/>
          <w:rFonts w:ascii="Arial;sans-serif" w:hAnsi="Arial;sans-serif"/>
        </w:rPr>
        <w:instrText> HYPERLINK "https://www.sec.gov/ix?doc=/Archives/edgar/data/1743907/000174390723000009/sncy-20221231.htm" \l "i684c337f82b14842ad2d4798d3d17a69_49"</w:instrText>
      </w:r>
      <w:r>
        <w:rPr>
          <w:rStyle w:val="InternetLink"/>
          <w:sz w:val="20"/>
          <w:u w:val="single"/>
          <w:b w:val="false"/>
          <w:rFonts w:ascii="Arial;sans-serif" w:hAnsi="Arial;sans-serif"/>
        </w:rPr>
        <w:fldChar w:fldCharType="separate"/>
      </w:r>
      <w:r>
        <w:rPr>
          <w:rStyle w:val="InternetLink"/>
          <w:rFonts w:ascii="Arial;sans-serif" w:hAnsi="Arial;sans-serif"/>
          <w:b w:val="false"/>
          <w:color w:val="0000FF"/>
          <w:sz w:val="20"/>
          <w:u w:val="single"/>
        </w:rPr>
        <w:t>Item 7</w:t>
      </w:r>
      <w:r>
        <w:rPr>
          <w:rStyle w:val="InternetLink"/>
          <w:sz w:val="20"/>
          <w:u w:val="single"/>
          <w:b w:val="false"/>
          <w:rFonts w:ascii="Arial;sans-serif" w:hAnsi="Arial;sans-serif"/>
        </w:rPr>
        <w:fldChar w:fldCharType="end"/>
      </w:r>
      <w:r>
        <w:rPr>
          <w:rFonts w:ascii="Arial;sans-serif" w:hAnsi="Arial;sans-serif"/>
          <w:b w:val="false"/>
          <w:color w:val="000000"/>
          <w:sz w:val="20"/>
        </w:rPr>
        <w:t xml:space="preserve">, respectively, in our 2022 10-K.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compared to the 2022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pStyle w:val="TextBody"/>
        <w:spacing w:lineRule="auto" w:line="288" w:before="240" w:after="283"/>
        <w:jc w:val="both"/>
        <w:rPr/>
      </w:pPr>
      <w:r>
        <w:rPr>
          <w:rFonts w:ascii="Arial;sans-serif" w:hAnsi="Arial;sans-serif"/>
          <w:b w:val="false"/>
          <w:i/>
          <w:color w:val="000000"/>
          <w:sz w:val="20"/>
        </w:rPr>
        <w:t>Aircraft Fuel</w:t>
      </w:r>
      <w:r>
        <w:rPr>
          <w:rFonts w:ascii="Arial;sans-serif" w:hAnsi="Arial;sans-serif"/>
          <w:b w:val="false"/>
          <w:color w:val="000000"/>
          <w:sz w:val="20"/>
        </w:rPr>
        <w:t>. Unexpected pricing changes of aircraft fuel could have a material adverse effect on our business, results of operations and 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March 31, 2023.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the second quarter of 2023, we estimate that a one cent per gallon increase in the average aircraft fuel price would increase aircraft fuel expense by approximately $193 excluding reimbursed fuel from cargo and certain charter customers.</w:t>
      </w:r>
    </w:p>
    <w:p>
      <w:pPr>
        <w:pStyle w:val="TextBody"/>
        <w:spacing w:lineRule="auto" w:line="288" w:before="240" w:after="283"/>
        <w:jc w:val="both"/>
        <w:rPr/>
      </w:pPr>
      <w:r>
        <w:rPr>
          <w:rFonts w:ascii="Arial;sans-serif" w:hAnsi="Arial;sans-serif"/>
          <w:b w:val="false"/>
          <w:i/>
          <w:color w:val="000000"/>
          <w:sz w:val="20"/>
        </w:rPr>
        <w:t xml:space="preserve">Interest Rates. </w:t>
      </w:r>
      <w:r>
        <w:rPr>
          <w:rFonts w:ascii="Arial;sans-serif" w:hAnsi="Arial;sans-serif"/>
          <w:b w:val="false"/>
          <w:color w:val="000000"/>
          <w:sz w:val="20"/>
        </w:rPr>
        <w:t xml:space="preserve">We have exposure to market risk associated with changes in interest rates related to the interest expense from our variable-rate debt and our short-term investment securities. A change in market interest rates would impact interest expense under the $119,200 term loan credit facility used to finance the Aircraft Held for Operating Lease. A 100 basis point increase in interest rates on the term loan would result in a corresponding increase in interest expense of approximately $1,192 annually. As of the date of this filing, the entire term loan credit facility had been drawn. The Company also maintains a $25,000 Revolving Credit Facility with a variable interest rate that is impacted by market conditions. As of March 31, 2023, the Company had $24,650 of financing available through the Revolving Credit Facility, as $350 had been pledged to support a letter of credit. As of March 31, 2023, no amounts on the Revolving Credit Facility had been drawn.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$165,277 as of March 31, 2023. These investments are highly liquid and are available to be quickly converted into known amounts of cash to fund current operations.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spacing w:before="0" w:after="0"/>
        <w:rPr/>
      </w:pPr>
      <w:r>
        <w:rPr/>
      </w:r>
    </w:p>
    <w:p>
      <w:pPr>
        <w:pStyle w:val="TextBody"/>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and Chief Financial Officer, has evaluated the effectiveness of the design and operation of our disclosure controls and procedures (as defined in Rules 13a-15(e) and 15d-15(e) under the Exchange Act) as of March 31, 2023.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Based on the evaluation of our disclosure controls and procedures as of March 31, 2023, our Chief Executive Officer and Chief Financial Officer have concluded that our disclosure controls and procedures were not effective as of March 31, 2023, due to the material weakness described below. </w:t>
      </w:r>
    </w:p>
    <w:p>
      <w:pPr>
        <w:pStyle w:val="TextBody"/>
        <w:spacing w:before="0" w:after="0"/>
        <w:rPr/>
      </w:pPr>
      <w:r>
        <w:rPr/>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Material Weakness in Internal Control over Financial Reporting</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previously disclosed in our Annual Report on Form 10-K as of December 31, 2022, that Management identified a material weakness in internal control over financial reporting. Specifically, Management's controls over the accounting for complex, non-routine transactions were not designed or implemented to operate with a sufficient level of precision. This included controls addressing the application of ASC Topic 842, Leases, to the purchase of aircraft subject to an existing operating lease.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control deficiency did not result in a material misstatement of the Condensed Consolidated Financial Statements included in this Quarterly Report on Form 10-Q or our prior period consolidated annual or interim financial statements. However, the control deficiency created a reasonable possibility that a material misstatement to the annual or interim consolidated financial statements would not have been prevented or detected on a timely basis. Accordingly, Management has concluded that this control deficiency constituted a material weakness.</w:t>
      </w:r>
    </w:p>
    <w:p>
      <w:pPr>
        <w:pStyle w:val="TextBody"/>
        <w:spacing w:before="0" w:after="0"/>
        <w:rPr/>
      </w:pPr>
      <w:r>
        <w:rPr/>
      </w:r>
    </w:p>
    <w:p>
      <w:pPr>
        <w:pStyle w:val="TextBody"/>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Remediation Plan</w:t>
      </w:r>
    </w:p>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Management is continuing to supplement the system of internal control over financial reporting with the following actions:</w:t>
      </w:r>
    </w:p>
    <w:p>
      <w:pPr>
        <w:pStyle w:val="TextBody"/>
        <w:spacing w:before="0" w:after="0"/>
        <w:rPr/>
      </w:pPr>
      <w:r>
        <w:rPr/>
      </w:r>
    </w:p>
    <w:p>
      <w:pPr>
        <w:pStyle w:val="TextBody"/>
        <w:spacing w:lineRule="auto" w:line="268" w:before="0" w:after="0"/>
        <w:ind w:left="0" w:right="0" w:hanging="360"/>
        <w:rPr/>
      </w:pPr>
      <w:r>
        <w:rPr>
          <w:color w:val="000000"/>
        </w:rPr>
        <w:t>•</w:t>
      </w:r>
      <w:r>
        <w:rPr>
          <w:rFonts w:ascii="Arial;sans-serif" w:hAnsi="Arial;sans-serif"/>
          <w:b w:val="false"/>
          <w:color w:val="000000"/>
          <w:sz w:val="20"/>
        </w:rPr>
        <w:t xml:space="preserve">Hired a technical accounting specialist after the material weakness occurred; </w:t>
      </w:r>
    </w:p>
    <w:p>
      <w:pPr>
        <w:pStyle w:val="TextBody"/>
        <w:spacing w:before="0" w:after="0"/>
        <w:rPr/>
      </w:pPr>
      <w:r>
        <w:rPr/>
      </w:r>
    </w:p>
    <w:p>
      <w:pPr>
        <w:pStyle w:val="TextBody"/>
        <w:spacing w:lineRule="auto" w:line="268" w:before="0" w:after="0"/>
        <w:ind w:left="0" w:right="0" w:hanging="360"/>
        <w:rPr/>
      </w:pPr>
      <w:r>
        <w:rPr>
          <w:color w:val="000000"/>
        </w:rPr>
        <w:t>•</w:t>
      </w:r>
      <w:r>
        <w:rPr>
          <w:rFonts w:ascii="Arial;sans-serif" w:hAnsi="Arial;sans-serif"/>
          <w:b w:val="false"/>
          <w:color w:val="000000"/>
          <w:sz w:val="20"/>
        </w:rPr>
        <w:t>Provided additional training on how to utilize external technical accounting research resources;</w:t>
      </w:r>
    </w:p>
    <w:p>
      <w:pPr>
        <w:pStyle w:val="TextBody"/>
        <w:spacing w:before="0" w:after="0"/>
        <w:rPr/>
      </w:pPr>
      <w:r>
        <w:rPr/>
      </w:r>
    </w:p>
    <w:p>
      <w:pPr>
        <w:pStyle w:val="TextBody"/>
        <w:spacing w:lineRule="auto" w:line="268" w:before="0" w:after="0"/>
        <w:ind w:left="0" w:right="0" w:hanging="360"/>
        <w:rPr/>
      </w:pPr>
      <w:r>
        <w:rPr>
          <w:color w:val="000000"/>
        </w:rPr>
        <w:t>•</w:t>
      </w:r>
      <w:r>
        <w:rPr>
          <w:rFonts w:ascii="Arial;sans-serif" w:hAnsi="Arial;sans-serif"/>
          <w:b w:val="false"/>
          <w:color w:val="000000"/>
          <w:sz w:val="20"/>
        </w:rPr>
        <w:t>Reviewed all existing internal accounting policies and accounting guidance memos for completeness and the appropriate accounting guidance, including those surrounding leases;</w:t>
      </w:r>
    </w:p>
    <w:p>
      <w:pPr>
        <w:pStyle w:val="TextBody"/>
        <w:spacing w:before="0" w:after="0"/>
        <w:rPr/>
      </w:pPr>
      <w:r>
        <w:rPr/>
      </w:r>
    </w:p>
    <w:p>
      <w:pPr>
        <w:pStyle w:val="TextBody"/>
        <w:spacing w:lineRule="auto" w:line="268" w:before="0" w:after="0"/>
        <w:ind w:left="0" w:right="0" w:hanging="360"/>
        <w:rPr/>
      </w:pPr>
      <w:r>
        <w:rPr>
          <w:color w:val="000000"/>
        </w:rPr>
        <w:t>•</w:t>
      </w:r>
      <w:r>
        <w:rPr>
          <w:rFonts w:ascii="Arial;sans-serif" w:hAnsi="Arial;sans-serif"/>
          <w:b w:val="false"/>
          <w:color w:val="000000"/>
          <w:sz w:val="20"/>
        </w:rPr>
        <w:t>Established a policy to provide additional guidance surrounding the use of third-party specialists;</w:t>
      </w:r>
    </w:p>
    <w:p>
      <w:pPr>
        <w:pStyle w:val="TextBody"/>
        <w:spacing w:before="0" w:after="0"/>
        <w:rPr/>
      </w:pPr>
      <w:r>
        <w:rPr/>
      </w:r>
    </w:p>
    <w:p>
      <w:pPr>
        <w:pStyle w:val="TextBody"/>
        <w:spacing w:lineRule="auto" w:line="268" w:before="0" w:after="0"/>
        <w:ind w:left="0" w:right="0" w:hanging="360"/>
        <w:rPr/>
      </w:pPr>
      <w:r>
        <w:rPr>
          <w:color w:val="000000"/>
        </w:rPr>
        <w:t>•</w:t>
      </w:r>
      <w:r>
        <w:rPr>
          <w:rFonts w:ascii="Arial;sans-serif" w:hAnsi="Arial;sans-serif"/>
          <w:b w:val="false"/>
          <w:color w:val="000000"/>
          <w:sz w:val="20"/>
        </w:rPr>
        <w:t>Enhanced the design of financial reporting controls, specifically sub-certifications and review of non-routine transactions;</w:t>
      </w:r>
    </w:p>
    <w:p>
      <w:pPr>
        <w:pStyle w:val="TextBody"/>
        <w:spacing w:before="0" w:after="0"/>
        <w:rPr/>
      </w:pPr>
      <w:r>
        <w:rPr/>
      </w:r>
    </w:p>
    <w:p>
      <w:pPr>
        <w:pStyle w:val="TextBody"/>
        <w:spacing w:lineRule="auto" w:line="268" w:before="0" w:after="0"/>
        <w:ind w:left="0" w:right="0" w:hanging="360"/>
        <w:rPr/>
      </w:pPr>
      <w:r>
        <w:rPr>
          <w:color w:val="000000"/>
        </w:rPr>
        <w:t>•</w:t>
      </w:r>
      <w:r>
        <w:rPr>
          <w:rFonts w:ascii="Arial;sans-serif" w:hAnsi="Arial;sans-serif"/>
          <w:b w:val="false"/>
          <w:color w:val="000000"/>
          <w:sz w:val="20"/>
        </w:rPr>
        <w:t>Engaging third-party specialists, as necessary, to review Management’s conclusions on the accounting for non-routine transactions involving the application of complex accounting standards; and</w:t>
      </w:r>
    </w:p>
    <w:p>
      <w:pPr>
        <w:pStyle w:val="TextBody"/>
        <w:spacing w:before="0" w:after="0"/>
        <w:rPr/>
      </w:pPr>
      <w:r>
        <w:rPr/>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Continuing to review and make necessary changes to the overall design of our risk assessment and review controls over accounting for complex, non-routine transactions, including lease-related transactions.</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have made significant progress in accordance with our remediation plan since the filing of our Annual Report on Form 10-K for the year ended December 31, 2022 as follows:</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Continued to engage third-party specialists to review Managements conclusions on the accounting for non-routine transactions occurring in the first quarter of 2023; and</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Re-designed the overall design of our risk assessment process with utilization of a new third-party tool</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Arial;sans-serif" w:hAnsi="Arial;sans-serif"/>
          <w:b w:val="false"/>
          <w:color w:val="000000"/>
          <w:sz w:val="20"/>
        </w:rPr>
        <w:t>Established a policy and internal controls surrounding transactions related to a new lessor relationship</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material weakness will not be considered remediated until a sustained period of time has passed to allow management to test the design and operational effectiveness of the corrective actions. We believe that our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remediation plan will be sufficient to remediate the identified material weakness and strengthen our internal control over financial reporting. However, as we continue to evaluate and work to improve our internal control over financial reporting, Management may determine that additional measures to address control deficiencies or modifications to the remediation plan are necessary. Therefore, we cannot assure you when the Company will remediate the material weakness identified above, nor can we be certain that additional actions will not be required and what the costs of any such additional actions may be. Moreover, we cannot assure you that additional material weaknesses will not arise in the future.</w:t>
      </w:r>
    </w:p>
    <w:p>
      <w:pPr>
        <w:pStyle w:val="TextBody"/>
        <w:spacing w:before="0" w:after="0"/>
        <w:jc w:val="both"/>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Despite the existence of this material weakness, our management believes that the Condensed Consolidated Financial Statements included in this Quarterly Report fairly present, in all material respects, our financial position, results of operations and cash flows for the periods presented in conformity with GAAP.</w:t>
      </w:r>
    </w:p>
    <w:p>
      <w:pPr>
        <w:pStyle w:val="TextBody"/>
        <w:spacing w:before="0" w:after="0"/>
        <w:rPr/>
      </w:pPr>
      <w:r>
        <w:rPr/>
      </w:r>
    </w:p>
    <w:p>
      <w:pPr>
        <w:pStyle w:val="TextBody"/>
        <w:spacing w:lineRule="auto" w:line="268" w:before="0" w:after="0"/>
        <w:rPr>
          <w:rFonts w:ascii="Arial;sans-serif" w:hAnsi="Arial;sans-serif"/>
          <w:b w:val="false"/>
          <w:i/>
          <w:color w:val="000000"/>
          <w:sz w:val="20"/>
        </w:rPr>
      </w:pPr>
      <w:r>
        <w:rPr>
          <w:rFonts w:ascii="Arial;sans-serif" w:hAnsi="Arial;sans-serif"/>
          <w:b w:val="false"/>
          <w:i/>
          <w:color w:val="000000"/>
          <w:sz w:val="20"/>
        </w:rPr>
        <w:t>Changes in Internal Control Over Financial Reporting</w:t>
      </w:r>
    </w:p>
    <w:p>
      <w:pPr>
        <w:pStyle w:val="TextBody"/>
        <w:spacing w:before="0" w:after="0"/>
        <w:rPr/>
      </w:pPr>
      <w:r>
        <w:rPr/>
      </w:r>
    </w:p>
    <w:p>
      <w:pPr>
        <w:pStyle w:val="TextBody"/>
        <w:spacing w:lineRule="auto" w:line="268" w:before="0" w:after="0"/>
        <w:jc w:val="both"/>
        <w:rPr>
          <w:rFonts w:ascii="Arial;sans-serif" w:hAnsi="Arial;sans-serif"/>
          <w:b w:val="false"/>
          <w:color w:val="000000"/>
          <w:sz w:val="20"/>
        </w:rPr>
      </w:pPr>
      <w:r>
        <w:rPr>
          <w:rFonts w:ascii="Arial;sans-serif" w:hAnsi="Arial;sans-serif"/>
          <w:b w:val="false"/>
          <w:color w:val="000000"/>
          <w:sz w:val="20"/>
        </w:rPr>
        <w:t>Other than the changes made as part of the remediation plan described above, there has been no change in the Company’s internal control over financial reporting (as defined in Rules 13a-15(f) and 15d-15(f) under the Exchange Act) that occurred during the quarter ended March 31, 2023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1A. RISK FACTORS</w:t>
      </w:r>
    </w:p>
    <w:p>
      <w:pPr>
        <w:pStyle w:val="TextBody"/>
        <w:spacing w:lineRule="auto" w:line="288" w:before="240" w:after="283"/>
        <w:jc w:val="both"/>
        <w:rPr/>
      </w:pPr>
      <w:r>
        <w:rPr>
          <w:rFonts w:ascii="Arial;sans-serif" w:hAnsi="Arial;sans-serif"/>
          <w:b w:val="false"/>
          <w:color w:val="000000"/>
          <w:sz w:val="20"/>
        </w:rPr>
        <w:t>We have disclosed under the heading “</w:t>
      </w:r>
      <w:r>
        <w:fldChar w:fldCharType="begin"/>
      </w:r>
      <w:r>
        <w:rPr>
          <w:rStyle w:val="InternetLink"/>
          <w:dstrike w:val="false"/>
          <w:strike w:val="false"/>
          <w:sz w:val="20"/>
          <w:u w:val="none"/>
          <w:b w:val="false"/>
          <w:effect w:val="none"/>
          <w:rFonts w:ascii="Arial;sans-serif" w:hAnsi="Arial;sans-serif"/>
        </w:rPr>
        <w:instrText> HYPERLINK "https://www.sec.gov/ix?doc=/Archives/edgar/data/1743907/000174390723000009/sncy-20221231.htm" \l "i684c337f82b14842ad2d4798d3d17a69_25"</w:instrText>
      </w:r>
      <w:r>
        <w:rPr>
          <w:rStyle w:val="InternetLink"/>
          <w:dstrike w:val="false"/>
          <w:strike w:val="false"/>
          <w:sz w:val="20"/>
          <w:u w:val="none"/>
          <w:b w:val="false"/>
          <w:effect w:val="none"/>
          <w:rFonts w:ascii="Arial;sans-serif" w:hAnsi="Arial;sans-serif"/>
        </w:rPr>
        <w:fldChar w:fldCharType="separate"/>
      </w:r>
      <w:r>
        <w:rPr>
          <w:rStyle w:val="InternetLink"/>
          <w:rFonts w:ascii="Arial;sans-serif" w:hAnsi="Arial;sans-serif"/>
          <w:b w:val="false"/>
          <w:strike w:val="false"/>
          <w:dstrike w:val="false"/>
          <w:color w:val="000000"/>
          <w:sz w:val="20"/>
          <w:u w:val="none"/>
          <w:effect w:val="none"/>
        </w:rPr>
        <w:t>Risk Factors</w:t>
      </w:r>
      <w:r>
        <w:rPr>
          <w:rStyle w:val="InternetLink"/>
          <w:dstrike w:val="false"/>
          <w:strike w:val="false"/>
          <w:sz w:val="20"/>
          <w:u w:val="none"/>
          <w:b w:val="false"/>
          <w:effect w:val="none"/>
          <w:rFonts w:ascii="Arial;sans-serif" w:hAnsi="Arial;sans-serif"/>
        </w:rPr>
        <w:fldChar w:fldCharType="end"/>
      </w:r>
      <w:r>
        <w:rPr>
          <w:rFonts w:ascii="Arial;sans-serif" w:hAnsi="Arial;sans-serif"/>
          <w:b w:val="false"/>
          <w:color w:val="000000"/>
          <w:sz w:val="20"/>
        </w:rPr>
        <w:t>” in our 2022 10-K, the risk factors which materially affect our business, financial condition or results of operations. Except for the updated risk factors set forth below, there have been no material changes from the risk factors previously disclosed. You should carefully consider the risk factors set forth in our 2022 10-K and the risk factors presented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pStyle w:val="TextBody"/>
        <w:spacing w:before="0" w:after="0"/>
        <w:jc w:val="both"/>
        <w:rPr/>
      </w:pPr>
      <w:r>
        <w:rPr/>
      </w:r>
    </w:p>
    <w:p>
      <w:pPr>
        <w:pStyle w:val="TextBody"/>
        <w:spacing w:lineRule="auto" w:line="288" w:before="0" w:after="0"/>
        <w:jc w:val="both"/>
        <w:rPr>
          <w:rFonts w:ascii="Arial;sans-serif" w:hAnsi="Arial;sans-serif"/>
          <w:b/>
          <w:color w:val="000000"/>
          <w:sz w:val="20"/>
        </w:rPr>
      </w:pPr>
      <w:r>
        <w:rPr>
          <w:rFonts w:ascii="Arial;sans-serif" w:hAnsi="Arial;sans-serif"/>
          <w:b/>
          <w:color w:val="000000"/>
          <w:sz w:val="20"/>
        </w:rPr>
        <w:t>Risks Related to Our Business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Major bank failure or sustained financial market illiquidity, or illiquidity at our clearing, cash management and custodial financial institutions, could adversely affect our business, financial condition and results of operations. </w:t>
      </w:r>
    </w:p>
    <w:p>
      <w:pPr>
        <w:pStyle w:val="TextBody"/>
        <w:spacing w:before="0" w:after="0"/>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On March 10, 2023, the California Department of Financial Protection and Innovation closed Silicon Valley Bank (“SVB”) and appointed Federal Deposit Insurance Corporation (the “FDIC”) receiver. Similarly, on March 12, 2023, Signature Bank and Silvergate Capital Corp. were each swept into receivership. Although depositors at SVB received access to their funds,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of Treasury, FDIC and Federal Reserve Board will provide access to uninsured funds in the future in the event of the closure of other banks or financial institutions in a timely fashion or at all. The ultimate outcome of these events, and whether further regulatory actions will be taken, cannot be predicted.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would face certain risks in the event of a sustained deterioration of financial market liquidity, as well as in the event of sustained deterioration in the liquidity, or failure, of our clearing, cash management and custodial financial institutions. In particular, in the event of a major bank or credit card failure, we could be unable to process credit card transactions. In such a case, or if financial liquidity deteriorates for other reasons, our ability to operate our business and our financial condition and results of operations could be significantly harmed.</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Lessee defaults could materially adversely affect our business, financial condition and results of operations.</w:t>
      </w:r>
    </w:p>
    <w:p>
      <w:pPr>
        <w:pStyle w:val="TextBody"/>
        <w:spacing w:before="0" w:after="0"/>
        <w:jc w:val="both"/>
        <w:rPr/>
      </w:pPr>
      <w:r>
        <w:rPr/>
      </w:r>
    </w:p>
    <w:p>
      <w:pPr>
        <w:pStyle w:val="TextBody"/>
        <w:spacing w:lineRule="auto" w:line="288" w:before="0" w:after="0"/>
        <w:jc w:val="both"/>
        <w:rPr/>
      </w:pPr>
      <w:r>
        <w:rPr>
          <w:rFonts w:ascii="Arial;sans-serif" w:hAnsi="Arial;sans-serif"/>
          <w:b w:val="false"/>
          <w:color w:val="000000"/>
          <w:sz w:val="20"/>
        </w:rPr>
        <w:t>Investors should expect some lessees to experience payment difficulties, particularly in difficult economic or operating environments. As a result of their financial condition and lack of liquidity, lessees may be significantly in arrears in their rental or maintenance payments.</w:t>
      </w:r>
      <w:r>
        <w:rPr>
          <w:color w:val="000000"/>
        </w:rPr>
        <w:t xml:space="preserve"> </w:t>
      </w:r>
      <w:r>
        <w:rPr>
          <w:rFonts w:ascii="Arial;sans-serif" w:hAnsi="Arial;sans-serif"/>
          <w:b w:val="false"/>
          <w:color w:val="000000"/>
          <w:sz w:val="20"/>
        </w:rPr>
        <w:t>The airline industry is cyclical, economically sensitive and highly competitive, and our lessees are affected by several factors over which we and they have limited control, including: air passenger demand; changes in fuel costs, interest rates, foreign currency, inflation, labor difficulties, including pilot shortages, wage negotiations or other labor actions; increases in other operating costs, such as increased insurance costs, general economic conditions and governmental regulation and associated fees affecting the air transportation business. In recent years, the airline industry has been substantially impacted by the COVID-19 pandemic. In addition, geopolitical events such as changes in national policy or the imposition of sanctions, including new sanctions, trade barriers or tariffs, as well as events leading to political or economic instability such as war, prolonged armed conflict and acts of terrorism; epidemics, pandemics and natural disasters; availability of financing, including availability of governmental support; and airline financial health may also have an impact. Finally, our lessees may also be affected by aircraft accidents, in particular a loss if the aircraft is damaged or destroyed by an event specifically excluded from insurance policies such as dirty bombs, biohazardous materials and electromagnetic pulsing. These factors could cause our lessees to incur higher costs and to generate lower revenues which could adversely affect their ability to make lease payments or perform their maintenance obligations under the leases. In addition, lease default levels will likely increase over time if economic conditions deteriorate.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may not correctly assess the credit risk of a lessee or that risk could change over time. We may not be able to charge risk-adjusted lease rates, and lessees may not be able to continue to perform their financial and other obligations under our leases in the future.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Many airlines received lease deferrals or other accommodations during the COVID-19 pandemic and we may agree to deferrals, restructurings and terminations in the ordinary course of our business with lessees in the future. If a lessee delays, reduces, or fails to make lease payments when due and if we are unable to agree on a lease payment deferral or lease restructuring and we elect to terminate the lease, we may not receive all or any payments still outstanding. While deferrals generally shift the timing of payments to a later period, restructurings and terminations generally permanently reduce lease revenue, and the associated reduction in lease revenue could negatively affect our business.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event that a lessee defaults under a lease, any security deposit paid or letter of credit provided by the lessee may not be sufficient to cover the lessee’s outstanding or unpaid lease obligations and required maintenance and transition expenses.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Significant costs resulting from lease defaults could have a material adverse effect on our business.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Although we have the right to repossess the aircraft and to exercise other remedies upon a lessee default, repossession of an aircraft would likely lead to significant costs for us. Those costs include legal and other expenses of court or other governmental proceedings, particularly if the lessee is contesting the proceedings, and costs to obtain possession and/or deregistration of the aircraft and flight and export permissions. Delays resulting from these proceedings would increase the period of time during which the aircraft is not generating revenue. We may incur maintenance, refurbishment or repair costs that a defaulting lessee has failed to incur or pay and that are necessary to put the aircraft in suitable condition for re-lease, sale, or induction into the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pPr>
      <w:r>
        <w:rPr>
          <w:rFonts w:ascii="Arial;sans-serif" w:hAnsi="Arial;sans-serif"/>
          <w:b w:val="false"/>
          <w:color w:val="000000"/>
          <w:sz w:val="20"/>
        </w:rPr>
        <w:t>Company’s fleet. We may also incur storage costs associated with aircraft that we repossess and are unable to sell, induct into our fleet, or place immediately with another lessee. We may be required to pay off liens, claims, taxes and other governmental charges to obtain clear possession,</w:t>
      </w:r>
      <w:r>
        <w:rPr>
          <w:color w:val="000000"/>
        </w:rPr>
        <w:t xml:space="preserve"> </w:t>
      </w:r>
      <w:r>
        <w:rPr>
          <w:rFonts w:ascii="Arial;sans-serif" w:hAnsi="Arial;sans-serif"/>
          <w:b w:val="false"/>
          <w:color w:val="000000"/>
          <w:sz w:val="20"/>
        </w:rPr>
        <w:t>including, in some cases, liens that the lessee might have incurred in connection with the operation of its other aircraft. We could also incur other costs in connection with the physical possession of the aircraft.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may suffer other adverse consequences due to a lessee default and the repossession of the aircraft. Our rights upon a lessee default vary significantly depending upon the jurisdiction and may include the need to obtain a court order for repossession of the aircraft and/or consents for deregistration or re-export of the aircraft. When a defaulting lessee is in bankruptcy, protective administration, insolvency or similar proceedings, additional limitations may apply. Certain jurisdictions give rights to the trustee in bankruptcy or a similar officer to assume or reject the lease or to assign it to a third party, or entitle the lessee or another third party to retain possession of the aircraft without paying lease rentals or without performing all of the obligations under the lease. There can be no assurance that jurisdictions that have adopted the Cape Town Convention, which provides for uniformity and certainty for repossession of aircraft, will enforce it as written. Our efforts to repossess our aircraft could be further complicated for lessees that are owned in whole or in part by, or are subsidized by, government-related entities. Accordingly, we may be delayed in, or prevented from, enforcing our rights under a lease and in re-leasing, inducting into our fleet, or selling the affected aircraft.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we repossess an aircraft, we may not be able to export or deregister and profitably redeploy the aircraft in a timely manner or at all. Before an aviation authority will register an aircraft that has previously been registered in another country, it must receive confirmation that the aircraft has been deregistered by that country’s aviation authority. In order to deregister an aircraft, the lessee must comply with applicable laws and regulations, and the relevant governmental authority must enforce these laws and regulations. For instance, where a lessee or other operator flies only domestic routes in the jurisdiction in which the aircraft is registered, repossession may be more difficult, especially if the jurisdiction permits the lessee or the other operator to resist deregistration. We may also incur significant costs in retrieving or recreating aircraft records required for registration of the aircraft, and in obtaining a certificate of airworthiness for an aircraft. Upon a lessee default, we may incur significant costs in connection with repossessing our aircraft and we may be delayed in repossessing our aircraft or may be unable to obtain possession of our aircraft, which could have a materially adverse impact on our future revenue and cash flows.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Lessee defaults and reorganizations, bankruptcies or similar proceedings may result in lost revenue and additional costs.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From time to time, an airline may seek reorganization or protection from creditors under its local laws or may go into liquidation. Lessees may default on their lease obligations or file for bankruptcy or otherwise seek protection from creditors (collectively referred to as “bankruptcy”). Based on historical rates of airline defaults and bankruptcies, it’s possible that we will experience lessee defaults and bankruptcies.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 lessee defaults on its lease or files for bankruptcy, the lessee may not make lease payments or may return aircraft to us before the lease expires. If a lessee files for bankruptcy with the intent of reorganizing its business, we may agree to adjust our lease terms, including reducing lease payments by a significant amount. Certain jurisdictions give rights to the trustee in a bankruptcy to assume or reject the lease or to assign it to a third party, or entitle the lessee or another third party to retain possession of the aircraft without paying lease rentals or performing all or some of the obligations under the relevant lease. If one or more airline bankruptcies result in a larger number of aircraft being available for purchase or lease over a short period of time, aircraft values and aircraft lease rates may be depressed, and additional grounded aircraft and lower market values could adversely affect our ability to sell our aircraft or lease or remarket our aircraft at favorable rates or at all.</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result of the time and process involved with lessee reorganizations, bankruptcies or similar proceedings as described above, which can vary by airline and jurisdiction among other factors, we may experience lost revenue and additional costs.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If our lessees encounter financial difficulties and we decide to restructure our leases with those lessees, this could result in less favorable leases and in significant reductions in our cash flow.</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 lessee is late in making payments or fails to make payments in full, we may elect to or be required to restructure the lease. Restructuring may involve anything from a simple rescheduling of payments to the termination of a lease without receiving all the past due amounts. If requests for payment restructuring or rescheduling are granted, reduced or deferred rental payments may be payable over all or some part of the remaining term of the lease, and the terms of any revised payment schedules may be unfavorable or such payments may not be made. We may be unable to agree upon acceptable terms for any requested restructurings and as a result may be forced to exercise our remedies under those leases and we may be unable to repossess our aircraft on a timely basis.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terms and conditions of payment restructurings or reschedulings may adversely affect our cash flows.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Our lessees may fail to adequately insure our aircraft or fulfill their indemnity obligations, or we may not be able to adequately insure our aircraft, which may result in increased costs and liabilities.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When an aircraft is on lease, we do not directly control its operation. Nevertheless, because we hold title to the aircraft, we could be sued or held strictly liable for losses resulting from the operation of such aircraft, or may be held liable for losses on other legal theories or claims may be made against us as the owner of an aircraft requiring us to expend resources in our defense. As a result, we separately purchase contingent liability insurance and contingent hull insurance on all aircraft in our owned fleet. While we believe our insurance is adequate both as to coverages and amounts based on industry standards in the current market, we cannot assure you that we are adequately insured against all risks and in all territories in which our aircraft operate. For example, following the Russia-Ukraine conflict, Russia, Ukraine and Belarus are now generally excluded from coverage in our contingent liability, contingent hull and contingent hull war insurance consistent with insurance market terms available at the time these policies were last renewed.</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separately require our lessees to obtain specified levels of insurance customary in the aviation industry and indemnify us for, and insure against, liabilities arising out of the lessee’s use and operation of the aircraft. Lessees are also required to maintain all risks hull insurance, all risks property insurance, and war risks hull insurance on the aircraft at agreed upon levels. Lessees may fail to maintain adequate insurance coverage during a lease term, which, although in contravention of the lease terms, could necessitate our taking some corrective action such as terminating the lease or securing insurance for the aircraft. Moreover, even if our lessees retain specified levels of insurance, and indemnify us for, and insure against, liabilities arising out of their use and operation of the aircraft, we cannot assure you that we will not have any liability.</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there are certain risks or liabilities that we or our lessees may face, for which insurers may be unwilling to provide coverage for, or the cost to obtain such coverage may be prohibitively expensive. For example, following the terrorist attacks of September 11, 2001, aviation insurers significantly reduced the amount of insurance coverage available for claims resulting from acts of terrorism, war, dirty bombs, biohazardous materials, electromagnetic pulsing or similar events, and increased the premiums for such third-party war risk and terrorism liability insurance and coverage in general. Similarly, following the Russia-Ukraine conflict, aviation insurers have, in some cases, reduced the scope of insurance coverage provided by policies and increased insurance premiums. Accordingly, our or our lessees’ insurance coverage could be insufficient to cover all claims that could be asserted against us arising from the operation of our aircraft. Inadequate insurance coverage or default by lessees in fulfilling their indemnification or insurance obligations will reduce the proceeds that would be received by us if we are sued and are required to make payments to claimants. Moreover, our lessees’ insurance coverage is dependent on the financial condition of insurance companies, which might not be able to pay claims.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or our lessees’ failure to adequately insure our aircraft, or our lessees’ failure to fulfill their indemnity obligations to us, could reduce insurance proceeds otherwise payable to us in certain cases, and may result in increased costs and liabilities for our business.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A lessee’s failure to obtain required licenses, consents and approvals could negatively affect our ability to remarket, sell, or induct such aircraft into our fleet.</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Airlines are subject to extensive regulation in the jurisdictions in which they are registered and operate. As a result, we expect some of our leases will require licenses, consents or approvals, including consents from governmental or regulatory authorities for certain payments under our leases and for the import, export or deregistration of aircraft. Subsequent changes in applicable law or administrative practice may require additional licenses and consents or result in revocation of prior licenses and consents.</w:t>
      </w:r>
    </w:p>
    <w:p>
      <w:pPr>
        <w:pStyle w:val="TextBody"/>
        <w:spacing w:before="0" w:after="0"/>
        <w:jc w:val="both"/>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Furthermore, consents needed in connection with our repossession or sale of an aircraft may be withheld. Any of these events could negatively affect our ability to remarket, sell, or induct such aircraft into our fleet.</w:t>
      </w:r>
    </w:p>
    <w:p>
      <w:pPr>
        <w:pStyle w:val="TextBody"/>
        <w:spacing w:before="0" w:after="0"/>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Events outside of our control, including the threat or realization of epidemic diseases such as the COVID-19 pandemic, natural disasters, terrorist attacks, war or armed hostilities between countries or non-state actors, may adversely affect the financial condition of our lessees and of the aviation industry more broadly, and may ultimately impact our business.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Air travel has historically been disrupted, sometimes severely, by the occurrence of unexpected events outside of our and our lessees’ control. The COVID-19 pandemic has recently impacted air travel and our results of operations. We may still experience other impacts from COVID-19 or another disease, such as weaker demand for used aircraft, lessee defaults, bankruptcies or reorganizations, delays in delivery of aircraft, and increased costs of borrowing. We cannot currently reasonably estimate the extent to which these events will impact our business, results of operations and financial condition.</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the recent COVID-19 pandemic, passenger demand for air travel has also been negatively impacted in the past by other epidemic diseases, such as severe acute respiratory syndrome, bird flu, swine flu, the Zika virus, and Ebola. Future epidemic diseases and other diseases, or the fear of such events, could provoke responses that negatively affect passenger air travel. Air travel has also been disrupted in the past by terrorist attacks, war or armed hostilities between countries or non-state actors, including the fear of such events, and the occurrence of natural disasters and other natural phenomena, such as extreme weather conditions, floods, earthquakes, and volcanic eruptions, which may become more frequent or severe as a result of climate change.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occurrence of any such event, or multiple such events, could cause our lessees to experience decreased passenger demand, to incur higher costs and to generate lower revenues, which could adversely affect their ability to make lease payments to us, fulfill their maintenance obligations, or to obtain the types and amounts of insurance we require. This, in turn, could lead to lease restructurings and repossessions, impair our ability to remarket or otherwise dispose of aircraft on favorable terms or at all, or reduce the proceeds we receive for our aircraft in a disposition which may ultimately impact our business.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Export restrictions and tariffs may impact where we can place and deliver our aircraft and negatively impact our earnings and cash flows.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Existing export restrictions impact where we can place and deliver our aircraft. New export restrictions, including those implemented quickly or as a result of geopolitical events, may impact where we can place and deliver our aircraft or the ability of our lessees to operate our aircraft in certain jurisdictions, which may negatively impact our earnings and cash flows. For example, in early 2022, in connection with the ongoing conflict between Russia and Ukraine, the United States, European Union, United Kingdom and others imposed economic sanctions and export controls against certain industry sectors and parties in Russia. These sanctions include closures of airspace for aircraft operated by Russian airlines, bans on the leasing or sale of aircraft to Russian controlled entities, bans on the export and re-export of aircraft and aircraft components to Russian controlled entities or for use in Russia, and corresponding prohibitions on providing technical assistance, brokering services, insurance and reinsurance, as well as financing or financial assistance.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Tariffs can also impact our ability to place and deliver aircraft. Our leases are primarily structured as triple net leases, whereby the lessee is responsible for all operating costs. As a result, increased tariffs will result in a higher cost for imported aircraft that our lessees may not be willing to assume and which could adversely impact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aircraft, creating an oversupply of aircraft and potentially placing downward pressure on lease rates and aircraft market values.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example, in October 2019, the Office of the U.S. Trade Representative announced a 10% tariff on new aircraft imported from Europe, including Airbus aircraft. In March 2020, the tariffs on aircraft were raised to 15%. In November 2020, the E.U. announced a 15% tariff on new aircraft imported into the E.U. from the U.S., including Boeing aircraft. In June 2021, the U.S. and the E.U. agreed to temporarily suspend all retaliatory tariffs related to new aircraft imports for five years.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cannot predict what further actions may ultimately be taken with respect to export controls, tariffs or trade relations between the U.S. and other countries. Accordingly, it is difficult to predict exactly how, and to what extent, such actions may impact our business, or the business of our lessees or aircraft manufacturers. Any unfavorable government policies on international trade, such as export controls, capital controls or tariffs, may affect the demand for aircraft, increase the cost of aircraft components, delay production, or impact the competitive position of certain aircraft manufacturers. In turn, this may impact where we can place and deliver our aircraft, which may negatively impact our earnings and cash flows.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Changes in fuel costs could negatively affect our lessees, and by extension, the demand for our aircraft, which may negatively impact our earnings and cash flows.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Historically, fuel prices have fluctuated widely depending primarily on international market conditions, geopolitical and environmental events, and currency exchange rates. The cost of fuel represents a major expense that is not within the control of airlines, and significant increases in fuel costs or hedges that inaccurately assess the direction of fuel costs can adversely affect our and other airlines’ operating results. Due to the competitive nature of the aviation industry, operators may be unable to pass on increases in fuel prices to their customers by increasing fares in a manner that fully offsets increased fuel costs. In addition, operators may not be able to manage this risk by appropriately hedging their exposure to fuel price fluctuations. Airlines that do hedge their fuel costs can also be adversely affected by swift movements in fuel prices if such airlines are required as a result to post cash collateral under hedge agreements. Therefore, if fuel prices materially increase or show significant volatility, our lessees are likely to incur higher costs or generate lower revenues, which may affect their ability to meet their obligations to us. A sustained period of lower fuel costs may also adversely affect regional economies that depend on oil revenue, including those in which certain of our lessees operate. Should changes in fuel costs negatively affect our lessees or demand for our aircraft, our earnings and cash flows may be negatively impacted.</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The appreciation of the U.S. dollar could negatively impact our lessees’ ability to honor the terms of their leases, which are denominated in U.S. dollars, and may result in lost revenues and reduced net income.</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Lessees are exposed to currency risk due to the fact that they earn revenues in their local currencies while a significant portion of their liabilities and expenses are denominated in U.S. dollars, including their lease payments to us, as well as fuel, debt service, and other expenses. The ability of our lessees to make lease payments to us in U.S. dollars may be adversely impacted in the event of an appreciating U.S. dollar. This is particularly true for non-U.S. airlines whose operations are primarily domestic. Shifts in foreign exchange rates can be significant, are difficult to predict, and can occur quickly as evidenced by the significant appreciation of the U.S. dollar in 2022. Should our lessees be unable to honor the terms of their leases due to the appreciation of the U.S. dollar, we may experience lost revenues and reduced net income.</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Income and other taxes could negatively affect our business and operating results due to our multi-jurisdictional operations.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operate in multiple jurisdictions and may become subject to a wide range of income and other taxes. If we are unable to execute our business in jurisdictions with favorable tax treatment, our operations may be subject to significant income and other taxes. Moreover, as our aircraft are operated by our lessees in multiple jurisdictions, we may have nexus or taxable presence as a result of our aircraft landings in various jurisdictions. Such landings may result in us being subject to various taxes in such jurisdictions. Further, any changes in tax laws in any of the jurisdictions that subject us to income or other taxes, such as increases in tax rates or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limitations on our ability to deduct certain expenses from taxable income, such as depreciation expense and interest expense, could materially affect our tax obligations and effective tax rate. </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Environmental, social and governance (“ESG”) matters may impose additional costs and expose us to new risks.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Public ESG and sustainability reporting is becoming more broadly expected by investors, shareholders, regulatory agencies and other third parties. Certain organizations that provide corporate governance and other corporate risk information to investors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also face reputational damage in the event our corporate responsibility initiatives or objectives do not meet the standards set by our investors, shareholders, lawmakers, listing exchanges or other constituencies, or if we are unable to achieve an acceptable ESG or sustainability rating from third party rating services.</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Risks and requirements related to transacting business in foreign countries may result in increased liabilities, including penalties and fines as well as reputational harm.</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international business exposes us to trade and economic sanctions and other restrictions imposed by the United States or other governments or organizations. The U.S. Departments of Justice, Commerce, State and Treasury, and other foreign authorities have a broad range of civil and criminal penalties they may seek to impose against corporations and individuals for violations of economic sanctions laws, export control laws, the Foreign Corrupt Practices Act (“FCPA”) and other federal statutes and regulations, including the International Traffic in Arms Regulations and those established by the Office of Foreign Assets Control (“OFAC”), and similar or more restrictive foreign laws, rules and regulations, which may also apply to us. Under these laws and regulations, the government may require export licenses, or impose restrictions that would require modifications to business practices, including cessation of business activities in sanctioned countries or with sanctioned persons or entities, and modifications to compliance programs, which may increase compliance costs. Failure to implement changes may subject us to fines, penalties and other sanctions.</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in place Company policies related to FCPA, OFAC, export controls and similar laws and regulations, but we cannot assure you that our employees, consultants, sales agents, or associates will not engage in unlawful conduct for which we may be held responsible or that our business partners will not engage in conduct that could affect their ability to perform their contractual obligations and result in our being held liable for such conduct. Violation of laws or regulations may result in increased liabilities including penalties and fines as well as reputational harm.</w:t>
      </w:r>
    </w:p>
    <w:p>
      <w:pPr>
        <w:pStyle w:val="TextBody"/>
        <w:spacing w:before="0" w:after="0"/>
        <w:jc w:val="both"/>
        <w:rPr/>
      </w:pPr>
      <w:r>
        <w:rPr/>
      </w:r>
    </w:p>
    <w:p>
      <w:pPr>
        <w:pStyle w:val="TextBody"/>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The Company’s business has been, and in the future may again be, materially and adversely impacted by extreme weather events. An inability to quickly and effectively restore operations following adverse weather or a localized disaster or disturbance in a key geography has adversely and materially impacted, and in the future could again adversely and materially impact, the Company’s business, results of operations, and financial condition. </w:t>
      </w:r>
    </w:p>
    <w:p>
      <w:pPr>
        <w:pStyle w:val="TextBody"/>
        <w:spacing w:before="0" w:after="0"/>
        <w:jc w:val="both"/>
        <w:rPr/>
      </w:pPr>
      <w:r>
        <w:rPr/>
      </w:r>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Depending on location, the Company’s assets, including aircraft on lease, and route network are or could be exposed to ongoing risks arising from a variety of adverse weather conditions or localized natural or manmade disasters such as earthquakes, volcanoes, wildfires, hurricanes, tropical storms, tornadoes, floods, sea-level rise, severe winter weather, sustained or extreme cold or heat, drought, or other disturbances, actual or threatened. Extreme weather conditions, including increases in the frequency, severity, or duration of severe weather events (whether or not caused by anthropogenic climate change), can disrupt air travel from time to time, ground planes, damage equipment and increase maintenance costs, cause delays and cancellations or other network disruptions, require implementation of weight limitations due to increased temperatures, increase turbulence-related injuries, cause increases in fuel consumption to avoid such weather, disrupt the Company’s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supply chains (including fuel, parts, and service provider disruptions), and otherwise adversely affect the Company’s assets, operations, and infrastructure. These events can decrease revenue, increase costs, and adversely impact the Company’s financial condition. Prolonged interruptions or disruptions at airports can and do also adversely impact the Company’s business and results of operations. The Company also may incur significant costs to reestablish or relocate affected business functions, aircraft, and employees. Moreover, any resulting economic dislocations could adversely affect demand for the Company’s services, resulting in an adverse effect on our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lineRule="auto" w:line="288" w:before="240" w:after="283"/>
        <w:jc w:val="both"/>
        <w:rPr/>
      </w:pPr>
      <w:r>
        <w:rPr>
          <w:rFonts w:ascii="Arial;sans-serif" w:hAnsi="Arial;sans-serif"/>
          <w:b w:val="false"/>
          <w:color w:val="000000"/>
          <w:sz w:val="20"/>
        </w:rPr>
        <w:t xml:space="preserve">The following table summarizes the Company's repurchases of Common Stock for the quarter ended March 31, 2023. All stock repurchases during the quarter reflect shares repurchased pursuant to the Company's stock repurchase program and shares withheld from employees to satisfy the taxes due in connection with grants of stock under the Company's equity incentive plans. The shares of Common Stock withheld and tax withholding obligations are considered to be "issuer purchases" of shares that are required to be disclosed pursuant to this Item, but are not considered to be part of the Company's $50,000 stock repurchase program. For more information on the Company's stock repurchase program, see </w:t>
      </w:r>
      <w:hyperlink w:anchor="i2b162e4fbd8a45798bfaba84fde8af40_547">
        <w:r>
          <w:rPr>
            <w:rStyle w:val="InternetLink"/>
            <w:rFonts w:ascii="Arial;sans-serif" w:hAnsi="Arial;sans-serif"/>
            <w:b w:val="false"/>
            <w:color w:val="0000FF"/>
            <w:sz w:val="20"/>
            <w:u w:val="single"/>
          </w:rPr>
          <w:t>Note 11</w:t>
        </w:r>
      </w:hyperlink>
      <w:r>
        <w:rPr>
          <w:color w:val="000000"/>
        </w:rPr>
        <w:t xml:space="preserve"> </w:t>
      </w:r>
      <w:r>
        <w:rPr>
          <w:rFonts w:ascii="Arial;sans-serif" w:hAnsi="Arial;sans-serif"/>
          <w:b w:val="false"/>
          <w:color w:val="000000"/>
          <w:sz w:val="20"/>
        </w:rPr>
        <w:t>to the Condensed Consolidated Financial Statements included in Part I, Item 1 of this report.</w:t>
      </w:r>
    </w:p>
    <w:tbl>
      <w:tblPr>
        <w:tblW w:w="10205" w:type="dxa"/>
        <w:jc w:val="left"/>
        <w:tblInd w:w="0" w:type="dxa"/>
        <w:tblCellMar>
          <w:top w:w="28" w:type="dxa"/>
          <w:left w:w="28" w:type="dxa"/>
          <w:bottom w:w="28" w:type="dxa"/>
          <w:right w:w="28" w:type="dxa"/>
        </w:tblCellMar>
      </w:tblPr>
      <w:tblGrid>
        <w:gridCol w:w="437"/>
        <w:gridCol w:w="332"/>
        <w:gridCol w:w="333"/>
        <w:gridCol w:w="109"/>
        <w:gridCol w:w="109"/>
        <w:gridCol w:w="109"/>
        <w:gridCol w:w="761"/>
        <w:gridCol w:w="458"/>
        <w:gridCol w:w="459"/>
        <w:gridCol w:w="109"/>
        <w:gridCol w:w="109"/>
        <w:gridCol w:w="109"/>
        <w:gridCol w:w="330"/>
        <w:gridCol w:w="621"/>
        <w:gridCol w:w="168"/>
        <w:gridCol w:w="109"/>
        <w:gridCol w:w="109"/>
        <w:gridCol w:w="109"/>
        <w:gridCol w:w="956"/>
        <w:gridCol w:w="699"/>
        <w:gridCol w:w="701"/>
        <w:gridCol w:w="109"/>
        <w:gridCol w:w="109"/>
        <w:gridCol w:w="109"/>
        <w:gridCol w:w="436"/>
        <w:gridCol w:w="1555"/>
        <w:gridCol w:w="651"/>
      </w:tblGrid>
      <w:tr>
        <w:trPr/>
        <w:tc>
          <w:tcPr>
            <w:tcW w:w="437"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r>
      <w:tr>
        <w:trPr/>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Approximate Dollar Value ($ in thousands) of Shares that May Yet be Purchased Under Plan</w:t>
            </w:r>
          </w:p>
        </w:tc>
      </w:tr>
      <w:tr>
        <w:trPr/>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480,932 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3"/>
              </w:rPr>
            </w:pPr>
            <w:r>
              <w:rPr>
                <w:rFonts w:ascii="Arial;sans-serif" w:hAnsi="Arial;sans-serif"/>
                <w:b w:val="false"/>
                <w:color w:val="000000"/>
                <w:sz w:val="13"/>
              </w:rPr>
              <w:t>(1)</w:t>
            </w:r>
          </w:p>
        </w:tc>
        <w:tc>
          <w:tcPr>
            <w:tcW w:w="16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480,932 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1-28,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750,406 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750,000 </w:t>
            </w:r>
          </w:p>
        </w:tc>
        <w:tc>
          <w:tcPr>
            <w:tcW w:w="7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10,188 </w:t>
            </w:r>
          </w:p>
        </w:tc>
        <w:tc>
          <w:tcPr>
            <w:tcW w:w="6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1"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1,231,338 </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1,230,932 </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10,188 </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val="false"/>
          <w:color w:val="000000"/>
          <w:sz w:val="20"/>
        </w:rPr>
      </w:pPr>
      <w:r>
        <w:rPr>
          <w:rFonts w:ascii="Arial;sans-serif" w:hAnsi="Arial;sans-serif"/>
          <w:b w:val="false"/>
          <w:color w:val="000000"/>
          <w:sz w:val="20"/>
        </w:rPr>
        <w:t>_________________________</w: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During the fourth quarter of 2022, the Company entered into a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p>
      <w:pPr>
        <w:pStyle w:val="TextBody"/>
        <w:spacing w:lineRule="auto" w:line="288" w:before="240" w:after="283"/>
        <w:ind w:left="0" w:right="0" w:hanging="360"/>
        <w:jc w:val="both"/>
        <w:rPr>
          <w:rFonts w:ascii="Arial;sans-serif" w:hAnsi="Arial;sans-serif"/>
          <w:b w:val="false"/>
          <w:color w:val="000000"/>
          <w:sz w:val="20"/>
        </w:rPr>
      </w:pPr>
      <w:r>
        <w:rPr>
          <w:rFonts w:ascii="Arial;sans-serif" w:hAnsi="Arial;sans-serif"/>
          <w:b w:val="false"/>
          <w:color w:val="000000"/>
          <w:sz w:val="20"/>
        </w:rPr>
        <w:t>(a)Exhibits</w:t>
      </w:r>
    </w:p>
    <w:tbl>
      <w:tblPr>
        <w:tblW w:w="10205" w:type="dxa"/>
        <w:jc w:val="left"/>
        <w:tblInd w:w="0" w:type="dxa"/>
        <w:tblCellMar>
          <w:top w:w="28" w:type="dxa"/>
          <w:left w:w="28" w:type="dxa"/>
          <w:bottom w:w="28" w:type="dxa"/>
          <w:right w:w="28" w:type="dxa"/>
        </w:tblCellMar>
      </w:tblPr>
      <w:tblGrid>
        <w:gridCol w:w="255"/>
        <w:gridCol w:w="207"/>
        <w:gridCol w:w="209"/>
        <w:gridCol w:w="2792"/>
        <w:gridCol w:w="2792"/>
        <w:gridCol w:w="3950"/>
      </w:tblGrid>
      <w:tr>
        <w:trPr/>
        <w:tc>
          <w:tcPr>
            <w:tcW w:w="25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ncy-20230331x10xqexx101.htm">
              <w:r>
                <w:rPr>
                  <w:rStyle w:val="InternetLink"/>
                  <w:rFonts w:ascii="Arial;sans-serif" w:hAnsi="Arial;sans-serif"/>
                  <w:b w:val="false"/>
                  <w:color w:val="0000FF"/>
                  <w:sz w:val="20"/>
                  <w:u w:val="single"/>
                </w:rPr>
                <w:t>Employment Letter, dated as of July 5, 2022, by and between Sun Country, Inc. and Rose Neale</w:t>
              </w:r>
            </w:hyperlink>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ncy-20230331x10xqexx102.htm">
              <w:r>
                <w:rPr>
                  <w:rStyle w:val="InternetLink"/>
                  <w:rFonts w:ascii="Arial;sans-serif" w:hAnsi="Arial;sans-serif"/>
                  <w:b w:val="false"/>
                  <w:color w:val="0000FF"/>
                  <w:sz w:val="20"/>
                  <w:u w:val="single"/>
                </w:rPr>
                <w:t>Term Loan Facility Agreement, dated as of March 21, 2023, by and among Sun Country Airlines Holdings, Inc., Sun Country, Inc. (D/B/A Sun Country Airlines), the lenders party thereto and UMB Bank, National Association, as facility agent, security trustee and account bank</w:t>
              </w:r>
            </w:hyperlink>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ncy-20230331x10qexhibit311.htm">
              <w:r>
                <w:rPr>
                  <w:rStyle w:val="InternetLink"/>
                  <w:rFonts w:ascii="Arial;sans-serif" w:hAnsi="Arial;sans-serif"/>
                  <w:b w:val="false"/>
                  <w:color w:val="0000FF"/>
                  <w:sz w:val="20"/>
                  <w:u w:val="single"/>
                </w:rPr>
                <w:t>Certification by Sun Country's Chief Executive Officer with respect to Sun Country's Quarterly Report on Form 10-Q for the quarterly period ended March 31, 2023</w:t>
              </w:r>
            </w:hyperlink>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ncy-20230331x10qexhibit312.htm">
              <w:r>
                <w:rPr>
                  <w:rStyle w:val="InternetLink"/>
                  <w:rFonts w:ascii="Arial;sans-serif" w:hAnsi="Arial;sans-serif"/>
                  <w:b w:val="false"/>
                  <w:color w:val="0000FF"/>
                  <w:sz w:val="20"/>
                  <w:u w:val="single"/>
                </w:rPr>
                <w:t>Certification by Sun Country’s President and Chief Financial Officer with respect to Sun Country's Quarterly Report on Form 10-Q for the quarterly period ended March 31, 2023</w:t>
              </w:r>
            </w:hyperlink>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ncy-20230331x10qexhibit32.htm">
              <w:r>
                <w:rPr>
                  <w:rStyle w:val="InternetLink"/>
                  <w:rFonts w:ascii="Arial;sans-serif" w:hAnsi="Arial;sans-serif"/>
                  <w:b w:val="false"/>
                  <w:color w:val="0000FF"/>
                  <w:sz w:val="20"/>
                  <w:u w:val="single"/>
                </w:rPr>
                <w:t>Certification pursuant to Section 1350 of Chapter 63 of Title 18 of the United States Code by Sun Country Airlines Holdings, Inc.’s Chief Executive Officer and President and Chief Financial Officer with respect to Sun Country's Quarterly Report on Form 10-Q for the quarterly period ended March 31, 2023</w:t>
              </w:r>
            </w:hyperlink>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Labels Linkbase Document</w:t>
            </w:r>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Files (formatted as inline XBRL and contained in Exhibit 101)</w:t>
            </w:r>
          </w:p>
        </w:tc>
      </w:tr>
    </w:tbl>
    <w:tbl>
      <w:tblPr>
        <w:tblW w:w="1495" w:type="dxa"/>
        <w:jc w:val="left"/>
        <w:tblInd w:w="0" w:type="dxa"/>
        <w:tblCellMar>
          <w:top w:w="28" w:type="dxa"/>
          <w:left w:w="28" w:type="dxa"/>
          <w:bottom w:w="28" w:type="dxa"/>
          <w:right w:w="28" w:type="dxa"/>
        </w:tblCellMar>
      </w:tblPr>
      <w:tblGrid>
        <w:gridCol w:w="124"/>
        <w:gridCol w:w="109"/>
        <w:gridCol w:w="109"/>
        <w:gridCol w:w="179"/>
        <w:gridCol w:w="179"/>
        <w:gridCol w:w="179"/>
        <w:gridCol w:w="179"/>
        <w:gridCol w:w="179"/>
        <w:gridCol w:w="2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both"/>
              <w:rPr>
                <w:rFonts w:ascii="Arial;sans-serif" w:hAnsi="Arial;sans-serif"/>
                <w:b w:val="false"/>
                <w:color w:val="000000"/>
                <w:sz w:val="16"/>
              </w:rPr>
            </w:pPr>
            <w:r>
              <w:rPr>
                <w:rFonts w:ascii="Arial;sans-serif" w:hAnsi="Arial;sans-serif"/>
                <w:b w:val="false"/>
                <w:color w:val="000000"/>
                <w:sz w:val="16"/>
              </w:rPr>
              <w:t>*</w:t>
            </w:r>
          </w:p>
        </w:tc>
        <w:tc>
          <w:tcPr>
            <w:tcW w:w="115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both"/>
              <w:rPr>
                <w:rFonts w:ascii="Arial;sans-serif" w:hAnsi="Arial;sans-serif"/>
                <w:b w:val="false"/>
                <w:color w:val="000000"/>
                <w:sz w:val="16"/>
              </w:rPr>
            </w:pPr>
            <w:r>
              <w:rPr>
                <w:rFonts w:ascii="Arial;sans-serif" w:hAnsi="Arial;sans-serif"/>
                <w:b w:val="false"/>
                <w:color w:val="000000"/>
                <w:sz w:val="16"/>
              </w:rPr>
              <w:t>Filed herewith</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p>
      <w:pPr>
        <w:pStyle w:val="TextBody"/>
        <w:spacing w:lineRule="auto" w:line="288" w:before="0" w:after="0"/>
        <w:rPr/>
      </w:pPr>
      <w:hyperlink w:anchor="i2b162e4fbd8a45798bfaba84fde8af40_7">
        <w:r>
          <w:rPr>
            <w:rStyle w:val="InternetLink"/>
            <w:rFonts w:ascii="Arial;sans-serif" w:hAnsi="Arial;sans-serif"/>
            <w:b w:val="false"/>
            <w:color w:val="0000FF"/>
            <w:sz w:val="20"/>
            <w:u w:val="single"/>
          </w:rPr>
          <w:t>Table of Contents</w:t>
        </w:r>
      </w:hyperlink>
    </w:p>
    <w:p>
      <w:pPr>
        <w:pStyle w:val="TextBody"/>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SIGNATURE</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5234" w:type="dxa"/>
        <w:jc w:val="left"/>
        <w:tblInd w:w="0" w:type="dxa"/>
        <w:tblCellMar>
          <w:top w:w="28" w:type="dxa"/>
          <w:left w:w="28" w:type="dxa"/>
          <w:bottom w:w="28" w:type="dxa"/>
          <w:right w:w="28" w:type="dxa"/>
        </w:tblCellMar>
      </w:tblPr>
      <w:tblGrid>
        <w:gridCol w:w="478"/>
        <w:gridCol w:w="418"/>
        <w:gridCol w:w="423"/>
        <w:gridCol w:w="1147"/>
        <w:gridCol w:w="1147"/>
        <w:gridCol w:w="1621"/>
      </w:tblGrid>
      <w:tr>
        <w:trPr/>
        <w:tc>
          <w:tcPr>
            <w:tcW w:w="47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Sun Country Airlines Holdings, Inc.</w:t>
              <w:br/>
              <w:t>(Registrant)</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Dave Davis</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Dave Davis</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Financial Officer</w:t>
              <w:br/>
              <w:t>(Principal Financial and Accounting Officer)</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28, 2023</w:t>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v:rect>
            </w:pict>
          </mc:Fallback>
        </mc:AlternateConten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SCA </w:t>
      </w:r>
    </w:p>
    <w:p>
      <w:pPr>
        <w:pStyle w:val="TextBody"/>
        <w:spacing w:lineRule="auto" w:line="268" w:before="0" w:after="0"/>
        <w:ind w:left="0" w:right="0" w:firstLine="1431"/>
        <w:jc w:val="center"/>
        <w:rPr>
          <w:rFonts w:ascii="Times New Roman;sans-serif" w:hAnsi="Times New Roman;sans-serif"/>
          <w:b w:val="false"/>
          <w:color w:val="000000"/>
          <w:sz w:val="24"/>
        </w:rPr>
      </w:pPr>
      <w:r>
        <w:rPr>
          <w:rFonts w:ascii="Times New Roman;sans-serif" w:hAnsi="Times New Roman;sans-serif"/>
          <w:b w:val="false"/>
          <w:color w:val="000000"/>
          <w:sz w:val="24"/>
        </w:rPr>
        <w:t>JULY 5,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Dear Rose Neale</w:t>
      </w:r>
    </w:p>
    <w:p>
      <w:pPr>
        <w:pStyle w:val="TextBody"/>
        <w:spacing w:before="0" w:after="0"/>
        <w:rPr/>
      </w:pPr>
      <w:r>
        <w:rPr/>
      </w:r>
    </w:p>
    <w:p>
      <w:pPr>
        <w:pStyle w:val="TextBody"/>
        <w:spacing w:lineRule="auto" w:line="268" w:before="0" w:after="0"/>
        <w:ind w:left="0" w:right="0" w:firstLine="1440"/>
        <w:jc w:val="both"/>
        <w:rPr/>
      </w:pPr>
      <w:r>
        <w:rPr>
          <w:rFonts w:ascii="Times New Roman;sans-serif" w:hAnsi="Times New Roman;sans-serif"/>
          <w:b w:val="false"/>
          <w:color w:val="000000"/>
          <w:sz w:val="24"/>
        </w:rPr>
        <w:t>Congratulations on your promotion at Sun Country Airlines. This Employment Letter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entered into on July 1,2022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and between Rose Neale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and Sun Country, Inc., a Minnesota corporation (together with any of its subsidiaries and affiliates) as may employ the Executive from time to time, and any and all successors thereto,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outlines the terms of your employment with the Company.</w:t>
      </w:r>
    </w:p>
    <w:p>
      <w:pPr>
        <w:pStyle w:val="TextBody"/>
        <w:spacing w:before="0" w:after="0"/>
        <w:rPr/>
      </w:pPr>
      <w:r>
        <w:rPr/>
      </w:r>
    </w:p>
    <w:p>
      <w:pPr>
        <w:pStyle w:val="TextBody"/>
        <w:spacing w:lineRule="auto" w:line="268" w:before="0" w:after="0"/>
        <w:ind w:left="0" w:right="0" w:firstLine="1433"/>
        <w:jc w:val="center"/>
        <w:rPr>
          <w:rFonts w:ascii="Times New Roman;sans-serif" w:hAnsi="Times New Roman;sans-serif"/>
          <w:b w:val="false"/>
          <w:color w:val="000000"/>
          <w:sz w:val="24"/>
        </w:rPr>
      </w:pPr>
      <w:r>
        <w:rPr>
          <w:rFonts w:ascii="Times New Roman;sans-serif" w:hAnsi="Times New Roman;sans-serif"/>
          <w:b w:val="false"/>
          <w:color w:val="000000"/>
          <w:sz w:val="24"/>
        </w:rPr>
        <w:t>By execution of this Agreement, the Executive agrees to the terms outlined below.</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Employment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 General</w:t>
      </w:r>
      <w:r>
        <w:rPr>
          <w:rFonts w:ascii="Times New Roman;sans-serif" w:hAnsi="Times New Roman;sans-serif"/>
          <w:b w:val="false"/>
          <w:color w:val="000000"/>
          <w:sz w:val="24"/>
        </w:rPr>
        <w:t>. The Company shall employ the Executive, and the Executive shall be employed by the Company, on an at will basis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in the position set forth in Section 1(b), and upon the other terms and conditions herein provided.</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During the Term, the Executive shall serve as Senior Vice President and General Counsel, with responsibilities, duties, and authority customary for such position. The Executive shall report to the President &amp; Chief Financial Officer of the Company. The Executive agrees to observe and comply with the Company’s rules and policies as adopted from time to time by the Company.</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Compensation and Related Matters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Annual Base Salary</w:t>
      </w:r>
      <w:r>
        <w:rPr>
          <w:rFonts w:ascii="Times New Roman;sans-serif" w:hAnsi="Times New Roman;sans-serif"/>
          <w:b w:val="false"/>
          <w:color w:val="000000"/>
          <w:sz w:val="24"/>
        </w:rPr>
        <w:t>. During the Term, the Executive shall receive a base salary at a rate of $230,000 per annum, which shall be paid in accordance with the customary payroll practices of the Company (the “</w:t>
      </w:r>
      <w:r>
        <w:rPr>
          <w:rFonts w:ascii="Times New Roman;sans-serif" w:hAnsi="Times New Roman;sans-serif"/>
          <w:b w:val="false"/>
          <w:color w:val="000000"/>
          <w:sz w:val="24"/>
          <w:u w:val="single"/>
        </w:rPr>
        <w:t>Annual Base Salary</w:t>
      </w:r>
      <w:r>
        <w:rPr>
          <w:color w:val="000000"/>
        </w:rPr>
        <w: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Annual Bonus; STIP; LTIP</w:t>
      </w:r>
      <w:r>
        <w:rPr>
          <w:rFonts w:ascii="Times New Roman;sans-serif" w:hAnsi="Times New Roman;sans-serif"/>
          <w:b w:val="false"/>
          <w:color w:val="000000"/>
          <w:sz w:val="24"/>
        </w:rPr>
        <w:t>. With respect to each calendar year that ends during the Term, the Executive shall be eligible to receive a discretionary annual cash bonus in accordance with the terms of the then in effective Short and Long Term Executive Compensation Plans (the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The Executive’s actual Annual Bonus for a given year, if any, shall be determined on the basis of the Executive’s and/or the Company’s attainment of objective financial and/or other subjective or objective criteria established by the Company’s Board of Directors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and communicated to the Executive at the beginning of such year. Notwithstanding the foregoing, no Annual Bonus shall be payable with respect to any calendar year unless the Executive remains continuously employed with the Company through the date of payment, except as otherwise provided in Section 4.</w:t>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Equity</w:t>
      </w:r>
      <w:r>
        <w:rPr>
          <w:rFonts w:ascii="Times New Roman;sans-serif" w:hAnsi="Times New Roman;sans-serif"/>
          <w:b w:val="false"/>
          <w:color w:val="000000"/>
          <w:sz w:val="24"/>
        </w:rPr>
        <w:t>. As soon as reasonably practicable following the Effective Date, and subject to the Early Termination Right adjustment outlined below, the Executive shall be granted certain Restricted Stock Units of Sun Country Airlines Holdings, Inc., (the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subject to the terms and conditions set forth in the Company’s equity incentive plan and a restricted stock unit award agreement thereunder.</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Executive Travel Benefits</w:t>
      </w:r>
      <w:r>
        <w:rPr>
          <w:rFonts w:ascii="Times New Roman;sans-serif" w:hAnsi="Times New Roman;sans-serif"/>
          <w:b w:val="false"/>
          <w:color w:val="000000"/>
          <w:sz w:val="24"/>
        </w:rPr>
        <w:t>. The Executive is entitled to both positive-space and space-available travel benefits, in accordance with the Company’s rules and policies.</w:t>
      </w:r>
    </w:p>
    <w:p>
      <w:pPr>
        <w:pStyle w:val="TextBody"/>
        <w:spacing w:before="0" w:after="0"/>
        <w:rPr/>
      </w:pPr>
      <w:r>
        <w:rPr/>
      </w:r>
    </w:p>
    <w:p>
      <w:pPr>
        <w:pStyle w:val="TextBody"/>
        <w:spacing w:lineRule="auto" w:line="268" w:before="0" w:after="0"/>
        <w:ind w:left="0" w:right="0" w:firstLine="720"/>
        <w:jc w:val="both"/>
        <w:rPr/>
      </w:pPr>
      <w:r>
        <w:rPr>
          <w:color w:val="000000"/>
        </w:rPr>
        <w:t>    </w:t>
      </w:r>
      <w:r>
        <w:rPr>
          <w:rFonts w:ascii="Times New Roman;sans-serif" w:hAnsi="Times New Roman;sans-serif"/>
          <w:b w:val="false"/>
          <w:color w:val="000000"/>
          <w:sz w:val="24"/>
        </w:rPr>
        <w:t>(i)    </w:t>
      </w:r>
      <w:r>
        <w:rPr>
          <w:rFonts w:ascii="Times New Roman;sans-serif" w:hAnsi="Times New Roman;sans-serif"/>
          <w:b w:val="false"/>
          <w:color w:val="000000"/>
          <w:sz w:val="24"/>
          <w:u w:val="single"/>
        </w:rPr>
        <w:t>Positive Space Travel</w:t>
      </w:r>
      <w:r>
        <w:rPr>
          <w:rFonts w:ascii="Times New Roman;sans-serif" w:hAnsi="Times New Roman;sans-serif"/>
          <w:b w:val="false"/>
          <w:color w:val="000000"/>
          <w:sz w:val="24"/>
        </w:rPr>
        <w:t>. Positive space travel is permitted as follows: the Executive will receive an annual credit of $10,000 in the Executive’s Universal Air Travel Plan (“UATP”) account for personal travel on Company scheduled flights for the Executive and certain Qualifying Friends and Family (as defined below). Each flown segment is valued at $75, and deducted from the UATP account. The value of this benefit is reported as taxable income with taxes on such income paid for by the Company.</w:t>
      </w:r>
    </w:p>
    <w:p>
      <w:pPr>
        <w:pStyle w:val="TextBody"/>
        <w:spacing w:before="0" w:after="0"/>
        <w:rPr/>
      </w:pPr>
      <w:r>
        <w:rPr/>
      </w:r>
    </w:p>
    <w:p>
      <w:pPr>
        <w:pStyle w:val="TextBody"/>
        <w:spacing w:lineRule="auto" w:line="268" w:before="0" w:after="0"/>
        <w:ind w:left="0" w:right="0" w:firstLine="720"/>
        <w:rPr/>
      </w:pPr>
      <w:r>
        <w:rPr>
          <w:color w:val="000000"/>
        </w:rPr>
        <w:t>    </w:t>
      </w:r>
      <w:r>
        <w:rPr>
          <w:rFonts w:ascii="Times New Roman;sans-serif" w:hAnsi="Times New Roman;sans-serif"/>
          <w:b w:val="false"/>
          <w:color w:val="000000"/>
          <w:sz w:val="24"/>
        </w:rPr>
        <w:t>(ii)    </w:t>
      </w:r>
      <w:r>
        <w:rPr>
          <w:rFonts w:ascii="Times New Roman;sans-serif" w:hAnsi="Times New Roman;sans-serif"/>
          <w:b w:val="false"/>
          <w:color w:val="000000"/>
          <w:sz w:val="24"/>
          <w:u w:val="single"/>
        </w:rPr>
        <w:t>Qualifying Friends &amp; Family</w:t>
      </w:r>
      <w:r>
        <w:rPr>
          <w:rFonts w:ascii="Times New Roman;sans-serif" w:hAnsi="Times New Roman;sans-serif"/>
          <w:b w:val="false"/>
          <w:color w:val="000000"/>
          <w:sz w:val="24"/>
        </w:rPr>
        <w:t>. “Qualifying Friends and Family” are defined as follows: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If the Executive travels on a flight itinerary, the Executive may bring up to eight friends or family members, on the same itinerary, on any scheduled Company flight (provided such persons are not prohibited by Company from traveling on Company flights).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If the Eligible Executive is not listed on the flight itinerary, i) the Executive’s Circle Of Travelers (defined under the Company’s Employee Travel Policy) may use the Executive’s positive travel benefit for any scheduled Company flight and flown segments will be deducted from the UATP account; or ii) any friend or family member not otherwise prohibited by Company from traveling on Company’s flights, may travel to and/or from the Executive’s then-present location or homestead, to visit the Executive and/or Executive’s family, and flown segments will be deducted from the UATP account.</w:t>
      </w:r>
    </w:p>
    <w:p>
      <w:pPr>
        <w:pStyle w:val="TextBody"/>
        <w:spacing w:before="0" w:after="0"/>
        <w:rPr/>
      </w:pPr>
      <w:r>
        <w:rPr/>
      </w:r>
    </w:p>
    <w:p>
      <w:pPr>
        <w:pStyle w:val="TextBody"/>
        <w:spacing w:lineRule="auto" w:line="276" w:before="0" w:after="0"/>
        <w:ind w:left="0" w:right="0" w:firstLine="720"/>
        <w:rPr/>
      </w:pPr>
      <w:r>
        <w:rPr>
          <w:color w:val="000000"/>
        </w:rPr>
        <w:t>    </w:t>
      </w: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Space Available Travel</w:t>
      </w:r>
      <w:r>
        <w:rPr>
          <w:rFonts w:ascii="Times New Roman;sans-serif" w:hAnsi="Times New Roman;sans-serif"/>
          <w:b w:val="false"/>
          <w:color w:val="000000"/>
          <w:sz w:val="24"/>
        </w:rPr>
        <w:t>. The Executive and the Executive’s Circle Of Travelers may also travel on scheduled Company flights in accordance with the Company’s Employee Travel Policy, in which case, flown segments will not be deducted from the Executive’s UATP account.</w:t>
      </w:r>
    </w:p>
    <w:p>
      <w:pPr>
        <w:pStyle w:val="TextBody"/>
        <w:spacing w:before="0" w:after="0"/>
        <w:rPr/>
      </w:pPr>
      <w:r>
        <w:rPr/>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Other Benefits</w:t>
      </w:r>
      <w:r>
        <w:rPr>
          <w:rFonts w:ascii="Times New Roman;sans-serif" w:hAnsi="Times New Roman;sans-serif"/>
          <w:b w:val="false"/>
          <w:color w:val="000000"/>
          <w:sz w:val="24"/>
        </w:rPr>
        <w:t>. The Executive shall be entitled to receive other benefits (e.g. vacation, welfare benefits, etc.) in accordance with the Company’s rules and policies as adopted from time to time by the Company.</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Pursuant to the Early Termination Right, the Executive’s employment hereunder may be terminated without any breach of this Agreement only under the following circumstances:</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Circumstances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68" w:before="0" w:after="0"/>
        <w:ind w:left="0" w:right="0" w:firstLine="720"/>
        <w:rPr/>
      </w:pPr>
      <w:r>
        <w:rPr>
          <w:color w:val="000000"/>
        </w:rPr>
        <w:t>    </w:t>
      </w: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The Executive’s employment hereunder shall terminate upon his death.</w:t>
      </w:r>
    </w:p>
    <w:p>
      <w:pPr>
        <w:pStyle w:val="TextBody"/>
        <w:spacing w:before="0" w:after="0"/>
        <w:rPr/>
      </w:pPr>
      <w:r>
        <w:rPr/>
      </w:r>
    </w:p>
    <w:p>
      <w:pPr>
        <w:pStyle w:val="TextBody"/>
        <w:spacing w:lineRule="auto" w:line="276" w:before="0" w:after="0"/>
        <w:ind w:left="0" w:right="0" w:firstLine="720"/>
        <w:rPr/>
      </w:pPr>
      <w:r>
        <w:rPr>
          <w:color w:val="000000"/>
        </w:rPr>
        <w:t>    </w:t>
      </w:r>
      <w:r>
        <w:rPr>
          <w:rFonts w:ascii="Times New Roman;sans-serif" w:hAnsi="Times New Roman;sans-serif"/>
          <w:b w:val="false"/>
          <w:color w:val="000000"/>
          <w:sz w:val="24"/>
        </w:rPr>
        <w:t>(ii)    </w:t>
      </w:r>
      <w:r>
        <w:rPr>
          <w:rFonts w:ascii="Times New Roman;sans-serif" w:hAnsi="Times New Roman;sans-serif"/>
          <w:b w:val="false"/>
          <w:color w:val="000000"/>
          <w:sz w:val="24"/>
          <w:u w:val="single"/>
        </w:rPr>
        <w:t>Termination with Cause</w:t>
      </w:r>
      <w:r>
        <w:rPr>
          <w:rFonts w:ascii="Times New Roman;sans-serif" w:hAnsi="Times New Roman;sans-serif"/>
          <w:b w:val="false"/>
          <w:color w:val="000000"/>
          <w:sz w:val="24"/>
        </w:rPr>
        <w:t>. The Company may terminate the Executive’s employment with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President &amp; Chief Financial Officer of the Company after written notice thereof and failure to cure within ten (10) business days of receipt of the written notice, (iii) the Executive’s fraud, misappropriation, embezzlement (whether or not in connection with employment), or material misuse of funds or property belonging to the Company or any of its affiliates, (iv) the Executive’s willful violation of the policies of the Company or any of its subsidiaries, or gross negligence in connection with the performance of his duties, after written notice thereof and failure to cure within ten (10) business days of receipt of written notice, (v) 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that are cured within ten (10) days after the Executive becomes aware of such breaches, to the extent curable) or the non- competition and non-solicitation provisions to which the Executive is subject (including, without limitation, under Sections 6 and 7 of this Agreement). If, within thirty (30) days subsequent to 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 to the Company all amounts received under this Agreement, all equity awards or otherwise that would not have been payable to the Executive had such termination of employment been by the Company for Cause.</w:t>
      </w:r>
    </w:p>
    <w:p>
      <w:pPr>
        <w:pStyle w:val="TextBody"/>
        <w:spacing w:before="0" w:after="0"/>
        <w:jc w:val="both"/>
        <w:rPr/>
      </w:pPr>
      <w:r>
        <w:rPr/>
      </w:r>
    </w:p>
    <w:p>
      <w:pPr>
        <w:pStyle w:val="TextBody"/>
        <w:spacing w:lineRule="auto" w:line="268" w:before="0" w:after="0"/>
        <w:ind w:left="0" w:right="0" w:firstLine="720"/>
        <w:jc w:val="both"/>
        <w:rPr/>
      </w:pPr>
      <w:r>
        <w:rPr>
          <w:color w:val="000000"/>
        </w:rPr>
        <w:t>    </w:t>
      </w: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Termination without Cause</w:t>
      </w:r>
      <w:r>
        <w:rPr>
          <w:rFonts w:ascii="Times New Roman;sans-serif" w:hAnsi="Times New Roman;sans-serif"/>
          <w:b w:val="false"/>
          <w:color w:val="000000"/>
          <w:sz w:val="24"/>
        </w:rPr>
        <w:t>. The Company may terminate the Executive’s employment without Cause.</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68" w:before="0" w:after="0"/>
        <w:ind w:left="0" w:right="0" w:firstLine="720"/>
        <w:jc w:val="both"/>
        <w:rPr/>
      </w:pPr>
      <w:r>
        <w:rPr>
          <w:color w:val="000000"/>
        </w:rPr>
        <w:t>    </w:t>
      </w:r>
      <w:r>
        <w:rPr>
          <w:rFonts w:ascii="Times New Roman;sans-serif" w:hAnsi="Times New Roman;sans-serif"/>
          <w:b w:val="false"/>
          <w:color w:val="000000"/>
          <w:sz w:val="24"/>
        </w:rPr>
        <w:t>(iv)    </w:t>
      </w:r>
      <w:r>
        <w:rPr>
          <w:rFonts w:ascii="Times New Roman;sans-serif" w:hAnsi="Times New Roman;sans-serif"/>
          <w:b w:val="false"/>
          <w:color w:val="000000"/>
          <w:sz w:val="24"/>
          <w:u w:val="single"/>
        </w:rPr>
        <w:t>Resignation</w:t>
      </w:r>
      <w:r>
        <w:rPr>
          <w:rFonts w:ascii="Times New Roman;sans-serif" w:hAnsi="Times New Roman;sans-serif"/>
          <w:b w:val="false"/>
          <w:color w:val="000000"/>
          <w:sz w:val="24"/>
        </w:rPr>
        <w:t>. The Executive may resign from his employment upon not less than sixty (60) days’ advance written notice to the President &amp; Chief Financial Officer of the Company.</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Any termination of the Executive’s employment by the Company or by the Executive under this Section 3 (other than termination pursuant to Section 3(a)(i)) shall be communicated by a written notice (a “</w:t>
      </w:r>
      <w:r>
        <w:rPr>
          <w:rFonts w:ascii="Times New Roman;sans-serif" w:hAnsi="Times New Roman;sans-serif"/>
          <w:b w:val="false"/>
          <w:color w:val="000000"/>
          <w:sz w:val="24"/>
          <w:u w:val="single"/>
        </w:rPr>
        <w:t>Notice of Termination</w:t>
      </w:r>
      <w:r>
        <w:rPr>
          <w:color w:val="000000"/>
        </w:rPr>
        <w:t>”</w:t>
      </w:r>
      <w:r>
        <w:rPr>
          <w:rFonts w:ascii="Times New Roman;sans-serif" w:hAnsi="Times New Roman;sans-serif"/>
          <w:b w:val="false"/>
          <w:color w:val="000000"/>
          <w:sz w:val="24"/>
        </w:rPr>
        <w:t>) to the other party hereto specifying a date for termination in accordance with the applicable provision (“</w:t>
      </w:r>
      <w:r>
        <w:rPr>
          <w:rFonts w:ascii="Times New Roman;sans-serif" w:hAnsi="Times New Roman;sans-serif"/>
          <w:b w:val="false"/>
          <w:color w:val="000000"/>
          <w:sz w:val="24"/>
          <w:u w:val="single"/>
        </w:rPr>
        <w:t>Date</w:t>
      </w:r>
      <w:r>
        <w:rPr>
          <w:color w:val="000000"/>
        </w:rPr>
        <w:t xml:space="preserve"> </w:t>
      </w:r>
      <w:r>
        <w:rPr>
          <w:rFonts w:ascii="Times New Roman;sans-serif" w:hAnsi="Times New Roman;sans-serif"/>
          <w:b w:val="false"/>
          <w:color w:val="000000"/>
          <w:sz w:val="24"/>
        </w:rPr>
        <w:t>of Termination”).</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Termination of All Positions.</w:t>
      </w:r>
      <w:r>
        <w:rPr>
          <w:color w:val="000000"/>
        </w:rPr>
        <w:t xml:space="preserve"> </w:t>
      </w:r>
      <w:r>
        <w:rPr>
          <w:rFonts w:ascii="Times New Roman;sans-serif" w:hAnsi="Times New Roman;sans-serif"/>
          <w:b w:val="false"/>
          <w:color w:val="000000"/>
          <w:sz w:val="24"/>
        </w:rPr>
        <w:t>Upon termination of the Executive’s employment for any reason,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proxy to any officer of the Company to so execute on his behalf.</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Suspension of Duties</w:t>
      </w:r>
      <w:r>
        <w:rPr>
          <w:rFonts w:ascii="Times New Roman;sans-serif" w:hAnsi="Times New Roman;sans-serif"/>
          <w:b w:val="false"/>
          <w:color w:val="000000"/>
          <w:sz w:val="24"/>
        </w:rPr>
        <w:t>. The Company reserves the right to bar the Executive from the offices of the Company or any of its affiliates and to require that the Executive refrain from undertaking all or any of the Executive’s duties.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Company Obligations upon Termination of Employment</w:t>
      </w:r>
      <w:r>
        <w:rPr>
          <w:rFonts w:ascii="Times New Roman;sans-serif" w:hAnsi="Times New Roman;sans-serif"/>
          <w:b w:val="false"/>
          <w:color w:val="000000"/>
          <w:sz w:val="24"/>
        </w:rPr>
        <w:t>.</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 General</w:t>
      </w:r>
      <w:r>
        <w:rPr>
          <w:rFonts w:ascii="Times New Roman;sans-serif" w:hAnsi="Times New Roman;sans-serif"/>
          <w:b w:val="false"/>
          <w:color w:val="000000"/>
          <w:sz w:val="24"/>
        </w:rPr>
        <w:t>. Upon termination of the Executive’s employment for any reason, the Executive (or the Executive’s estate) shall be entitled to receive (i) any amount of the Executive’s Annual Base Salary earned through the Date of Termination not theretofore paid, (ii) any Annual Bonus (and if applicable, any Long-Term Incentive) for the year prior to the year in which the Date of Termination occurred, that was earned but not yet paid, and (iii) any amount arising from the Executive’s participation in, or benefits under, any employee benefit plans, programs, or arrangements under Section 2(g) (other than severance plans, programs, or arrangements), which amounts shall be payable in accordance with the terms and conditions of such employee benefit plans, programs, or arrangements including, where applicable, any death and disability benefits (the “</w:t>
      </w:r>
      <w:r>
        <w:rPr>
          <w:rFonts w:ascii="Times New Roman;sans-serif" w:hAnsi="Times New Roman;sans-serif"/>
          <w:b w:val="false"/>
          <w:color w:val="000000"/>
          <w:sz w:val="24"/>
          <w:u w:val="single"/>
        </w:rPr>
        <w:t>Accrued Obligations</w:t>
      </w:r>
      <w:r>
        <w:rPr>
          <w:color w:val="000000"/>
        </w:rPr>
        <w:t>”</w:t>
      </w:r>
      <w:r>
        <w:rPr>
          <w:rFonts w:ascii="Times New Roman;sans-serif" w:hAnsi="Times New Roman;sans-serif"/>
          <w:b w:val="false"/>
          <w:color w:val="000000"/>
          <w:sz w:val="24"/>
        </w:rPr>
        <w:t>). Notwithstanding anything to the contrary, upon a termination by the Company with Cause, the Accrued Obligations shall not include the amount set forth in clause (ii) of the preceding sentence.</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Termination without Cause</w:t>
      </w:r>
      <w:r>
        <w:rPr>
          <w:rFonts w:ascii="Times New Roman;sans-serif" w:hAnsi="Times New Roman;sans-serif"/>
          <w:b w:val="false"/>
          <w:color w:val="000000"/>
          <w:sz w:val="24"/>
        </w:rPr>
        <w:t>. If the Company terminates the Executive’s employment without Cause pursuant to Section 3(a)(iii), the Company shall, in addition to the Accrued Obligations, continue to pay the Annual Base Salary in accordance with the Company’s customary payroll practices during the period beginning on the Date of Termination and ending on the earlier to occur of (A) the twelve (12) month anniversary of the Date of Termination and</w:t>
      </w:r>
    </w:p>
    <w:p>
      <w:pPr>
        <w:pStyle w:val="TextBody"/>
        <w:spacing w:lineRule="auto" w:line="268"/>
        <w:jc w:val="both"/>
        <w:rPr/>
      </w:pPr>
      <w:r>
        <w:rPr>
          <w:rFonts w:ascii="Times New Roman;sans-serif" w:hAnsi="Times New Roman;sans-serif"/>
          <w:b w:val="false"/>
          <w:color w:val="000000"/>
          <w:sz w:val="24"/>
        </w:rPr>
        <w:t xml:space="preserve">(B) the first date that the Executive violates any covenant contained herein or in the Release (as hereafter defined), after receipt of written notice thereof and expiration of a 10 business day cure period; </w:t>
      </w:r>
      <w:r>
        <w:rPr>
          <w:rFonts w:ascii="Times New Roman;sans-serif" w:hAnsi="Times New Roman;sans-serif"/>
          <w:b w:val="false"/>
          <w:color w:val="000000"/>
          <w:sz w:val="24"/>
          <w:u w:val="single"/>
        </w:rPr>
        <w:t>provided, however</w:t>
      </w:r>
      <w:r>
        <w:rPr>
          <w:rFonts w:ascii="Times New Roman;sans-serif" w:hAnsi="Times New Roman;sans-serif"/>
          <w:b w:val="false"/>
          <w:color w:val="000000"/>
          <w:sz w:val="24"/>
        </w:rPr>
        <w:t>, the installment payments payable pursuant to this Section 5(b) shall commence on the first payroll period following the effective date of the Release (as defined below), and the initial installment shall include a lump-sum payment of all amounts accrued under this Section 5(b) from the Date of Termination through the date of such initial payment.</w:t>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Notwithstanding anything herein to the contrary, the amounts payable to the Executive under Sections 4(b), other than the Accrued Obligations, shall be contingent upon and subject to the Executive’s (or the Executive’s estate, if applicable) execution and non- revocation of a general waiver and release of claims agreement in the Company’s customary form, which in any case shall include a 12 month (i) non-competition, non-solicitation, and non-hire clause; and (ii) nondisclosure, nondisparagement, and intellectual property protection clause, each in the Company’s standard form (the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(and the expiration of any applicable revocation period), on or prior to the sixtieth (60</w:t>
      </w:r>
      <w:r>
        <w:rPr>
          <w:rFonts w:ascii="Times New Roman;sans-serif" w:hAnsi="Times New Roman;sans-serif"/>
          <w:b w:val="false"/>
          <w:color w:val="000000"/>
          <w:sz w:val="13"/>
        </w:rPr>
        <w:t>th</w:t>
      </w:r>
      <w:r>
        <w:rPr>
          <w:rFonts w:ascii="Times New Roman;sans-serif" w:hAnsi="Times New Roman;sans-serif"/>
          <w:b w:val="false"/>
          <w:color w:val="000000"/>
          <w:sz w:val="24"/>
        </w:rPr>
        <w:t>) day following the Date of Termination.</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Except as otherwise set forth herein, the expiration or termination of the Term shall not impair the rights or obligations of any party hereto, which shall have accrued prior to such expiration or termination.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Assignment and Successors</w:t>
      </w:r>
      <w:r>
        <w:rPr>
          <w:rFonts w:ascii="Times New Roman;sans-serif" w:hAnsi="Times New Roman;sans-serif"/>
          <w:b w:val="false"/>
          <w:color w:val="000000"/>
          <w:sz w:val="24"/>
        </w:rPr>
        <w:t>. The Company may assign its rights and obligations under this Agreement. The Executive may not assign his rights or obligations under this Agreement.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employment, all unpaid amounts otherwise due the Executive (including under Section 4) shall be paid to his estate.</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Governing Law; Jurisdiction</w:t>
      </w:r>
      <w:r>
        <w:rPr>
          <w:rFonts w:ascii="Times New Roman;sans-serif" w:hAnsi="Times New Roman;sans-serif"/>
          <w:b w:val="false"/>
          <w:color w:val="000000"/>
          <w:sz w:val="24"/>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 The parties agree that any suit, action or proceeding brought by or against such party in connection with this Agreement shall be brought solely in any state or federal court within the State of Delaware. EACH PARTY HEREBY IRREVOCABLY WAIVES ALL RIGHT TO A TRIAL BY JURY IN ANY SUIT, ACTION OR OTHER PROCEEDING INSTITUTED BY OR AGAINST SUCH PARTY IN RESPECT OF ITS RIGHTS OR OBLIGATIONS HEREUNDER.</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w:t>
      </w:r>
    </w:p>
    <w:p>
      <w:pPr>
        <w:pStyle w:val="TextBody"/>
        <w:spacing w:before="0" w:after="0"/>
        <w:rPr/>
      </w:pPr>
      <w:r>
        <w:rPr/>
      </w:r>
    </w:p>
    <w:p>
      <w:pPr>
        <w:pStyle w:val="TextBody"/>
        <w:spacing w:lineRule="auto" w:line="268"/>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The terms of this Agreement (together with any other agreements and instruments expressly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and all such prior agreements, plans, provisions, understandings or arrangements shall be null and void in their entirety and of no further force or effect.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r>
        <w:br w:type="page"/>
      </w: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Amendments; Waivers</w:t>
      </w:r>
      <w:r>
        <w:rPr>
          <w:rFonts w:ascii="Times New Roman;sans-serif" w:hAnsi="Times New Roman;sans-serif"/>
          <w:b w:val="false"/>
          <w:color w:val="000000"/>
          <w:sz w:val="24"/>
        </w:rPr>
        <w:t xml:space="preserve">. This Agreement may not be modified, amended, or terminated except by an instrument in writing signed by the Executive and a duly authorized officer of the Company (other than the Executive). By an instrument in writing similarly executed and similarly identifying the waived compliance, the Executive or a duly authorized officer of the Company (other than the Executive) may waive compliance by the other party or parties with any provision of this Agreement that such other party was or is obligated to comply with or perform;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Enforcement</w:t>
      </w:r>
      <w:r>
        <w:rPr>
          <w:rFonts w:ascii="Times New Roman;sans-serif" w:hAnsi="Times New Roman;sans-serif"/>
          <w:b w:val="false"/>
          <w:color w:val="000000"/>
          <w:sz w:val="24"/>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Employee Representations</w:t>
      </w:r>
      <w:r>
        <w:rPr>
          <w:rFonts w:ascii="Times New Roman;sans-serif" w:hAnsi="Times New Roman;sans-serif"/>
          <w:b w:val="false"/>
          <w:color w:val="000000"/>
          <w:sz w:val="24"/>
        </w:rPr>
        <w:t>. The Executive represents, warrants and covenants that (i) to the extent applicable, this Agreement shall be interpreted in accordance with, and incorporate the terms and conditions required by, Section 409A of the Internal Revenue Code and the Department of Treasury Regulations and other interpretive guidance issued thereunder, including without limitation any such regulations or other guidance that may be issued after the date hereof; (ii) that he has read and understands this Agreement, is fully aware of its legal effect, has not acted in reliance upon any representations or promises made by the Company other than those contained in writing herein, and has entered into this Agreement freely based on his own judgment, (iii) the execution and delivery of this Agreement shall not result in any breach or violation of, or a default under, any existing obligation, commitment or agreement to which Executive is subject, (iv) the Executive shall keep all terms of this Agreement confidential, except with respect to disclosure to the Executive’s spouse, accountants or attorneys, each of whom shall agree to keep all terms of this Agreement confidential, and (v) the Company shall be entitled to withhold from any amounts payable under this Agreement any federal, state, local, and foreign withholding and other taxes and charges that the Company is required to withhold.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ind w:left="0" w:right="0" w:firstLine="143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We look forward to having you on board.</w:t>
      </w:r>
    </w:p>
    <w:p>
      <w:pPr>
        <w:pStyle w:val="TextBody"/>
        <w:spacing w:before="0" w:after="0"/>
        <w:rPr/>
      </w:pPr>
      <w:r>
        <w:rPr/>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spacing w:before="0" w:after="0"/>
        <w:rPr/>
      </w:pPr>
      <w:r>
        <w:rPr/>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Sun Country, Inc.</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4"/>
        </w:rPr>
        <w:t>By:</w:t>
      </w:r>
      <w:r>
        <w:rPr>
          <w:color w:val="000000"/>
          <w:u w:val="single"/>
        </w:rPr>
        <w:t xml:space="preserve"> </w:t>
      </w:r>
      <w:r>
        <w:rPr>
          <w:rFonts w:ascii="Times New Roman;sans-serif" w:hAnsi="Times New Roman;sans-serif"/>
          <w:b w:val="false"/>
          <w:color w:val="000000"/>
          <w:sz w:val="24"/>
          <w:u w:val="single"/>
        </w:rPr>
        <w:t xml:space="preserve">/s/ Dave Davis </w:t>
      </w:r>
    </w:p>
    <w:p>
      <w:pPr>
        <w:pStyle w:val="TextBody"/>
        <w:spacing w:lineRule="auto" w:line="268"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Name: Dave Davis</w:t>
      </w:r>
    </w:p>
    <w:p>
      <w:pPr>
        <w:pStyle w:val="TextBody"/>
        <w:spacing w:lineRule="auto" w:line="268" w:before="0" w:after="0"/>
        <w:ind w:left="0" w:right="0" w:firstLine="719"/>
        <w:rPr>
          <w:rFonts w:ascii="Times New Roman;sans-serif" w:hAnsi="Times New Roman;sans-serif"/>
          <w:b w:val="false"/>
          <w:color w:val="000000"/>
          <w:sz w:val="24"/>
        </w:rPr>
      </w:pPr>
      <w:r>
        <w:rPr>
          <w:rFonts w:ascii="Times New Roman;sans-serif" w:hAnsi="Times New Roman;sans-serif"/>
          <w:b w:val="false"/>
          <w:color w:val="000000"/>
          <w:sz w:val="24"/>
        </w:rPr>
        <w:t>Title: President &amp; Chief Financial Officer</w:t>
      </w:r>
    </w:p>
    <w:p>
      <w:pPr>
        <w:pStyle w:val="TextBody"/>
        <w:spacing w:before="0" w:after="0"/>
        <w:rPr/>
      </w:pPr>
      <w:r>
        <w:rPr/>
      </w:r>
    </w:p>
    <w:p>
      <w:pPr>
        <w:pStyle w:val="TextBody"/>
        <w:spacing w:before="0" w:after="0"/>
        <w:ind w:left="0" w:right="0" w:firstLine="1226"/>
        <w:rPr/>
      </w:pPr>
      <w:r>
        <w:rPr/>
      </w:r>
    </w:p>
    <w:p>
      <w:pPr>
        <w:pStyle w:val="TextBody"/>
        <w:spacing w:before="0" w:after="0"/>
        <w:rPr/>
      </w:pPr>
      <w:r>
        <w:rPr/>
      </w:r>
    </w:p>
    <w:tbl>
      <w:tblPr>
        <w:tblW w:w="4644" w:type="dxa"/>
        <w:jc w:val="left"/>
        <w:tblInd w:w="0" w:type="dxa"/>
        <w:tblCellMar>
          <w:top w:w="28" w:type="dxa"/>
          <w:left w:w="28" w:type="dxa"/>
          <w:bottom w:w="28" w:type="dxa"/>
          <w:right w:w="28" w:type="dxa"/>
        </w:tblCellMar>
      </w:tblPr>
      <w:tblGrid>
        <w:gridCol w:w="124"/>
        <w:gridCol w:w="109"/>
        <w:gridCol w:w="109"/>
        <w:gridCol w:w="109"/>
        <w:gridCol w:w="109"/>
        <w:gridCol w:w="109"/>
        <w:gridCol w:w="1164"/>
        <w:gridCol w:w="1164"/>
        <w:gridCol w:w="164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ACKNOWLEDGED AND AGREED: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Erin Rose Neale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504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10.2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EXECUTION VERSION</w:t>
      </w:r>
    </w:p>
    <w:p>
      <w:pPr>
        <w:pStyle w:val="TextBody"/>
        <w:spacing w:lineRule="auto" w:line="240" w:before="200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$119,200,000</w:t>
      </w:r>
    </w:p>
    <w:p>
      <w:pPr>
        <w:pStyle w:val="TextBody"/>
        <w:spacing w:lineRule="auto" w:line="240" w:before="0" w:after="240"/>
        <w:jc w:val="center"/>
        <w:rPr>
          <w:rFonts w:ascii="Times New Roman;sans-serif" w:hAnsi="Times New Roman;sans-serif"/>
          <w:b/>
          <w:color w:val="000000"/>
          <w:sz w:val="44"/>
        </w:rPr>
      </w:pPr>
      <w:r>
        <w:rPr>
          <w:rFonts w:ascii="Times New Roman;sans-serif" w:hAnsi="Times New Roman;sans-serif"/>
          <w:b/>
          <w:color w:val="000000"/>
          <w:sz w:val="44"/>
        </w:rPr>
        <w:t>TERM LOAN AGREEMENT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March 16, 2023</w:t>
      </w:r>
    </w:p>
    <w:p>
      <w:pPr>
        <w:pStyle w:val="TextBody"/>
        <w:spacing w:lineRule="auto" w:line="240" w:before="0" w:after="0"/>
        <w:jc w:val="center"/>
        <w:rPr/>
      </w:pPr>
      <w:r>
        <w:rPr>
          <w:rFonts w:ascii="Times New Roman;sans-serif" w:hAnsi="Times New Roman;sans-serif"/>
          <w:b/>
          <w:color w:val="000000"/>
          <w:sz w:val="24"/>
        </w:rPr>
        <w:t>SUN COUNTRY, INC. (D/B/A SUN COUNTRY AIRLINES)</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 Company,</w:t>
      </w:r>
    </w:p>
    <w:p>
      <w:pPr>
        <w:pStyle w:val="TextBody"/>
        <w:spacing w:lineRule="auto" w:line="240" w:before="0" w:after="0"/>
        <w:jc w:val="center"/>
        <w:rPr/>
      </w:pPr>
      <w:r>
        <w:rPr>
          <w:rFonts w:ascii="Times New Roman;sans-serif" w:hAnsi="Times New Roman;sans-serif"/>
          <w:b/>
          <w:color w:val="000000"/>
          <w:sz w:val="24"/>
        </w:rPr>
        <w:t>SUN COUNTRY AIRLINES HOLDINGS, INC.</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 Guarantor,</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CERTAIN LENDERS FROM TIME TO TIME PARTY HERETO</w:t>
      </w:r>
    </w:p>
    <w:p>
      <w:pPr>
        <w:pStyle w:val="TextBody"/>
        <w:spacing w:lineRule="auto" w:line="240" w:before="0" w:after="0"/>
        <w:jc w:val="center"/>
        <w:rPr/>
      </w:pPr>
      <w:r>
        <w:rPr>
          <w:rFonts w:ascii="Times New Roman;sans-serif" w:hAnsi="Times New Roman;sans-serif"/>
          <w:b/>
          <w:color w:val="000000"/>
          <w:sz w:val="24"/>
        </w:rPr>
        <w:t>UMB BANK, NATIONAL ASSOCIATION</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not in its individual capacity but solely as Facility Agent,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spacing w:lineRule="auto" w:line="240" w:before="0" w:after="0"/>
        <w:jc w:val="center"/>
        <w:rPr/>
      </w:pPr>
      <w:r>
        <w:rPr>
          <w:rFonts w:ascii="Times New Roman;sans-serif" w:hAnsi="Times New Roman;sans-serif"/>
          <w:b/>
          <w:color w:val="000000"/>
          <w:sz w:val="24"/>
        </w:rPr>
        <w:t>UMB BANK, NATIONAL ASSOCIATION</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not in its individual capacity but solely as Security Trustee and as Account Bank</w:t>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720" w:after="240"/>
        <w:jc w:val="center"/>
        <w:rPr>
          <w:rFonts w:ascii="Times New Roman;sans-serif" w:hAnsi="Times New Roman;sans-serif"/>
          <w:b/>
          <w:color w:val="000000"/>
          <w:sz w:val="24"/>
        </w:rPr>
      </w:pPr>
      <w:r>
        <w:rPr>
          <w:rFonts w:ascii="Times New Roman;sans-serif" w:hAnsi="Times New Roman;sans-serif"/>
          <w:b/>
          <w:color w:val="000000"/>
          <w:sz w:val="24"/>
        </w:rPr>
        <w:t>T</w:t>
      </w:r>
      <w:r>
        <w:rPr>
          <w:rFonts w:ascii="Times New Roman;sans-serif" w:hAnsi="Times New Roman;sans-serif"/>
          <w:b/>
          <w:color w:val="000000"/>
          <w:sz w:val="24"/>
        </w:rPr>
        <w:t xml:space="preserve">ABLE OF CONTENTS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8650"/>
                <wp:effectExtent l="0" t="0" r="0" b="0"/>
                <wp:wrapNone/>
                <wp:docPr id="59" name="Frame5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60.6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720" w:after="24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6450" w:type="dxa"/>
        <w:jc w:val="left"/>
        <w:tblInd w:w="0" w:type="dxa"/>
        <w:tblCellMar>
          <w:top w:w="28" w:type="dxa"/>
          <w:left w:w="28" w:type="dxa"/>
          <w:bottom w:w="28" w:type="dxa"/>
          <w:right w:w="28" w:type="dxa"/>
        </w:tblCellMar>
      </w:tblPr>
      <w:tblGrid>
        <w:gridCol w:w="385"/>
        <w:gridCol w:w="339"/>
        <w:gridCol w:w="341"/>
        <w:gridCol w:w="1663"/>
        <w:gridCol w:w="1663"/>
        <w:gridCol w:w="1668"/>
        <w:gridCol w:w="114"/>
        <w:gridCol w:w="114"/>
        <w:gridCol w:w="163"/>
      </w:tblGrid>
      <w:tr>
        <w:trPr/>
        <w:tc>
          <w:tcPr>
            <w:tcW w:w="38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25">
              <w:r>
                <w:rPr>
                  <w:rStyle w:val="InternetLink"/>
                  <w:rFonts w:ascii="Times New Roman;sans-serif" w:hAnsi="Times New Roman;sans-serif"/>
                  <w:b w:val="false"/>
                  <w:strike w:val="false"/>
                  <w:dstrike w:val="false"/>
                  <w:color w:val="000000"/>
                  <w:sz w:val="24"/>
                  <w:u w:val="none"/>
                  <w:effect w:val="none"/>
                </w:rPr>
                <w:t>1</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Defined Terms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26">
              <w:r>
                <w:rPr>
                  <w:rStyle w:val="InternetLink"/>
                  <w:rFonts w:ascii="Times New Roman;sans-serif" w:hAnsi="Times New Roman;sans-serif"/>
                  <w:b w:val="false"/>
                  <w:strike w:val="false"/>
                  <w:dstrike w:val="false"/>
                  <w:color w:val="000000"/>
                  <w:sz w:val="24"/>
                  <w:u w:val="none"/>
                  <w:effect w:val="none"/>
                </w:rPr>
                <w:t>1</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GAAP</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27">
              <w:r>
                <w:rPr>
                  <w:rStyle w:val="InternetLink"/>
                  <w:rFonts w:ascii="Times New Roman;sans-serif" w:hAnsi="Times New Roman;sans-serif"/>
                  <w:b w:val="false"/>
                  <w:strike w:val="false"/>
                  <w:dstrike w:val="false"/>
                  <w:color w:val="000000"/>
                  <w:sz w:val="24"/>
                  <w:u w:val="none"/>
                  <w:effect w:val="none"/>
                </w:rPr>
                <w:t>20</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Terms Generally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28">
              <w:r>
                <w:rPr>
                  <w:rStyle w:val="InternetLink"/>
                  <w:rFonts w:ascii="Times New Roman;sans-serif" w:hAnsi="Times New Roman;sans-serif"/>
                  <w:b w:val="false"/>
                  <w:strike w:val="false"/>
                  <w:dstrike w:val="false"/>
                  <w:color w:val="000000"/>
                  <w:sz w:val="24"/>
                  <w:u w:val="none"/>
                  <w:effect w:val="none"/>
                </w:rPr>
                <w:t>20</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29">
              <w:r>
                <w:rPr>
                  <w:rStyle w:val="InternetLink"/>
                  <w:rFonts w:ascii="Times New Roman;sans-serif" w:hAnsi="Times New Roman;sans-serif"/>
                  <w:b w:val="false"/>
                  <w:strike w:val="false"/>
                  <w:dstrike w:val="false"/>
                  <w:color w:val="000000"/>
                  <w:sz w:val="24"/>
                  <w:u w:val="none"/>
                  <w:effect w:val="none"/>
                </w:rPr>
                <w:t>21</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Commitments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0">
              <w:r>
                <w:rPr>
                  <w:rStyle w:val="InternetLink"/>
                  <w:rFonts w:ascii="Times New Roman;sans-serif" w:hAnsi="Times New Roman;sans-serif"/>
                  <w:b w:val="false"/>
                  <w:strike w:val="false"/>
                  <w:dstrike w:val="false"/>
                  <w:color w:val="000000"/>
                  <w:sz w:val="24"/>
                  <w:u w:val="none"/>
                  <w:effect w:val="none"/>
                </w:rPr>
                <w:t>21</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2.01</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Loans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1">
              <w:r>
                <w:rPr>
                  <w:rStyle w:val="InternetLink"/>
                  <w:rFonts w:ascii="Times New Roman;sans-serif" w:hAnsi="Times New Roman;sans-serif"/>
                  <w:b w:val="false"/>
                  <w:strike w:val="false"/>
                  <w:dstrike w:val="false"/>
                  <w:color w:val="000000"/>
                  <w:sz w:val="24"/>
                  <w:u w:val="none"/>
                  <w:effect w:val="none"/>
                </w:rPr>
                <w:t>21</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2.02</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Borrowing</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2">
              <w:r>
                <w:rPr>
                  <w:rStyle w:val="InternetLink"/>
                  <w:rFonts w:ascii="Times New Roman;sans-serif" w:hAnsi="Times New Roman;sans-serif"/>
                  <w:b w:val="false"/>
                  <w:strike w:val="false"/>
                  <w:dstrike w:val="false"/>
                  <w:color w:val="000000"/>
                  <w:sz w:val="24"/>
                  <w:u w:val="none"/>
                  <w:effect w:val="none"/>
                </w:rPr>
                <w:t>21</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Fees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3">
              <w:r>
                <w:rPr>
                  <w:rStyle w:val="InternetLink"/>
                  <w:rFonts w:ascii="Times New Roman;sans-serif" w:hAnsi="Times New Roman;sans-serif"/>
                  <w:b w:val="false"/>
                  <w:strike w:val="false"/>
                  <w:dstrike w:val="false"/>
                  <w:color w:val="000000"/>
                  <w:sz w:val="24"/>
                  <w:u w:val="none"/>
                  <w:effect w:val="none"/>
                </w:rPr>
                <w:t>21</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2.04</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Commitments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4">
              <w:r>
                <w:rPr>
                  <w:rStyle w:val="InternetLink"/>
                  <w:rFonts w:ascii="Times New Roman;sans-serif" w:hAnsi="Times New Roman;sans-serif"/>
                  <w:b w:val="false"/>
                  <w:strike w:val="false"/>
                  <w:dstrike w:val="false"/>
                  <w:color w:val="000000"/>
                  <w:sz w:val="24"/>
                  <w:u w:val="none"/>
                  <w:effect w:val="none"/>
                </w:rPr>
                <w:t>22</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2.05</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Several Obligations; Certain Remedies Independent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5">
              <w:r>
                <w:rPr>
                  <w:rStyle w:val="InternetLink"/>
                  <w:rFonts w:ascii="Times New Roman;sans-serif" w:hAnsi="Times New Roman;sans-serif"/>
                  <w:b w:val="false"/>
                  <w:strike w:val="false"/>
                  <w:dstrike w:val="false"/>
                  <w:color w:val="000000"/>
                  <w:sz w:val="24"/>
                  <w:u w:val="none"/>
                  <w:effect w:val="none"/>
                </w:rPr>
                <w:t>22</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2.06</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6">
              <w:r>
                <w:rPr>
                  <w:rStyle w:val="InternetLink"/>
                  <w:rFonts w:ascii="Times New Roman;sans-serif" w:hAnsi="Times New Roman;sans-serif"/>
                  <w:b w:val="false"/>
                  <w:strike w:val="false"/>
                  <w:dstrike w:val="false"/>
                  <w:color w:val="000000"/>
                  <w:sz w:val="24"/>
                  <w:u w:val="none"/>
                  <w:effect w:val="none"/>
                </w:rPr>
                <w:t>22</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of Principal and Interest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7">
              <w:r>
                <w:rPr>
                  <w:rStyle w:val="InternetLink"/>
                  <w:rFonts w:ascii="Times New Roman;sans-serif" w:hAnsi="Times New Roman;sans-serif"/>
                  <w:b w:val="false"/>
                  <w:strike w:val="false"/>
                  <w:dstrike w:val="false"/>
                  <w:color w:val="000000"/>
                  <w:sz w:val="24"/>
                  <w:u w:val="none"/>
                  <w:effect w:val="none"/>
                </w:rPr>
                <w:t>22</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3.01</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Repayment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8">
              <w:r>
                <w:rPr>
                  <w:rStyle w:val="InternetLink"/>
                  <w:rFonts w:ascii="Times New Roman;sans-serif" w:hAnsi="Times New Roman;sans-serif"/>
                  <w:b w:val="false"/>
                  <w:strike w:val="false"/>
                  <w:dstrike w:val="false"/>
                  <w:color w:val="000000"/>
                  <w:sz w:val="24"/>
                  <w:u w:val="none"/>
                  <w:effect w:val="none"/>
                </w:rPr>
                <w:t>22</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3.02</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39">
              <w:r>
                <w:rPr>
                  <w:rStyle w:val="InternetLink"/>
                  <w:rFonts w:ascii="Times New Roman;sans-serif" w:hAnsi="Times New Roman;sans-serif"/>
                  <w:b w:val="false"/>
                  <w:strike w:val="false"/>
                  <w:dstrike w:val="false"/>
                  <w:color w:val="000000"/>
                  <w:sz w:val="24"/>
                  <w:u w:val="none"/>
                  <w:effect w:val="none"/>
                </w:rPr>
                <w:t>23</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3.03</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Prepayments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0">
              <w:r>
                <w:rPr>
                  <w:rStyle w:val="InternetLink"/>
                  <w:rFonts w:ascii="Times New Roman;sans-serif" w:hAnsi="Times New Roman;sans-serif"/>
                  <w:b w:val="false"/>
                  <w:strike w:val="false"/>
                  <w:dstrike w:val="false"/>
                  <w:color w:val="000000"/>
                  <w:sz w:val="24"/>
                  <w:u w:val="none"/>
                  <w:effect w:val="none"/>
                </w:rPr>
                <w:t>24</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Etc</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1">
              <w:r>
                <w:rPr>
                  <w:rStyle w:val="InternetLink"/>
                  <w:rFonts w:ascii="Times New Roman;sans-serif" w:hAnsi="Times New Roman;sans-serif"/>
                  <w:b w:val="false"/>
                  <w:strike w:val="false"/>
                  <w:dstrike w:val="false"/>
                  <w:color w:val="000000"/>
                  <w:sz w:val="24"/>
                  <w:u w:val="none"/>
                  <w:effect w:val="none"/>
                </w:rPr>
                <w:t>25</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4.01</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2">
              <w:r>
                <w:rPr>
                  <w:rStyle w:val="InternetLink"/>
                  <w:rFonts w:ascii="Times New Roman;sans-serif" w:hAnsi="Times New Roman;sans-serif"/>
                  <w:b w:val="false"/>
                  <w:strike w:val="false"/>
                  <w:dstrike w:val="false"/>
                  <w:color w:val="000000"/>
                  <w:sz w:val="24"/>
                  <w:u w:val="none"/>
                  <w:effect w:val="none"/>
                </w:rPr>
                <w:t>25</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4.02</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 Rata Treatment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3">
              <w:r>
                <w:rPr>
                  <w:rStyle w:val="InternetLink"/>
                  <w:rFonts w:ascii="Times New Roman;sans-serif" w:hAnsi="Times New Roman;sans-serif"/>
                  <w:b w:val="false"/>
                  <w:strike w:val="false"/>
                  <w:dstrike w:val="false"/>
                  <w:color w:val="000000"/>
                  <w:sz w:val="24"/>
                  <w:u w:val="none"/>
                  <w:effect w:val="none"/>
                </w:rPr>
                <w:t>28</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4.03</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Computations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4">
              <w:r>
                <w:rPr>
                  <w:rStyle w:val="InternetLink"/>
                  <w:rFonts w:ascii="Times New Roman;sans-serif" w:hAnsi="Times New Roman;sans-serif"/>
                  <w:b w:val="false"/>
                  <w:strike w:val="false"/>
                  <w:dstrike w:val="false"/>
                  <w:color w:val="000000"/>
                  <w:sz w:val="24"/>
                  <w:u w:val="none"/>
                  <w:effect w:val="none"/>
                </w:rPr>
                <w:t>28</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4.04</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5">
              <w:r>
                <w:rPr>
                  <w:rStyle w:val="InternetLink"/>
                  <w:rFonts w:ascii="Times New Roman;sans-serif" w:hAnsi="Times New Roman;sans-serif"/>
                  <w:b w:val="false"/>
                  <w:strike w:val="false"/>
                  <w:dstrike w:val="false"/>
                  <w:color w:val="000000"/>
                  <w:sz w:val="24"/>
                  <w:u w:val="none"/>
                  <w:effect w:val="none"/>
                </w:rPr>
                <w:t>28</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4.05</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Non-Receipt of Funds by the Facility Agent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6">
              <w:r>
                <w:rPr>
                  <w:rStyle w:val="InternetLink"/>
                  <w:rFonts w:ascii="Times New Roman;sans-serif" w:hAnsi="Times New Roman;sans-serif"/>
                  <w:b w:val="false"/>
                  <w:strike w:val="false"/>
                  <w:dstrike w:val="false"/>
                  <w:color w:val="000000"/>
                  <w:sz w:val="24"/>
                  <w:u w:val="none"/>
                  <w:effect w:val="none"/>
                </w:rPr>
                <w:t>28</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4.06</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Set-Off; Sharing of Payments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7">
              <w:r>
                <w:rPr>
                  <w:rStyle w:val="InternetLink"/>
                  <w:rFonts w:ascii="Times New Roman;sans-serif" w:hAnsi="Times New Roman;sans-serif"/>
                  <w:b w:val="false"/>
                  <w:strike w:val="false"/>
                  <w:dstrike w:val="false"/>
                  <w:color w:val="000000"/>
                  <w:sz w:val="24"/>
                  <w:u w:val="none"/>
                  <w:effect w:val="none"/>
                </w:rPr>
                <w:t>29</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Yield Protection, Etc</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8">
              <w:r>
                <w:rPr>
                  <w:rStyle w:val="InternetLink"/>
                  <w:rFonts w:ascii="Times New Roman;sans-serif" w:hAnsi="Times New Roman;sans-serif"/>
                  <w:b w:val="false"/>
                  <w:strike w:val="false"/>
                  <w:dstrike w:val="false"/>
                  <w:color w:val="000000"/>
                  <w:sz w:val="24"/>
                  <w:u w:val="none"/>
                  <w:effect w:val="none"/>
                </w:rPr>
                <w:t>30</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5.01</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Increased Costs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49">
              <w:r>
                <w:rPr>
                  <w:rStyle w:val="InternetLink"/>
                  <w:rFonts w:ascii="Times New Roman;sans-serif" w:hAnsi="Times New Roman;sans-serif"/>
                  <w:b w:val="false"/>
                  <w:strike w:val="false"/>
                  <w:dstrike w:val="false"/>
                  <w:color w:val="000000"/>
                  <w:sz w:val="24"/>
                  <w:u w:val="none"/>
                  <w:effect w:val="none"/>
                </w:rPr>
                <w:t>30</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5.02</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Market Disruption Event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0">
              <w:r>
                <w:rPr>
                  <w:rStyle w:val="InternetLink"/>
                  <w:rFonts w:ascii="Times New Roman;sans-serif" w:hAnsi="Times New Roman;sans-serif"/>
                  <w:b w:val="false"/>
                  <w:strike w:val="false"/>
                  <w:dstrike w:val="false"/>
                  <w:color w:val="000000"/>
                  <w:sz w:val="24"/>
                  <w:u w:val="none"/>
                  <w:effect w:val="none"/>
                </w:rPr>
                <w:t>31</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5.03</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Illegality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1">
              <w:r>
                <w:rPr>
                  <w:rStyle w:val="InternetLink"/>
                  <w:rFonts w:ascii="Times New Roman;sans-serif" w:hAnsi="Times New Roman;sans-serif"/>
                  <w:b w:val="false"/>
                  <w:strike w:val="false"/>
                  <w:dstrike w:val="false"/>
                  <w:color w:val="000000"/>
                  <w:sz w:val="24"/>
                  <w:u w:val="none"/>
                  <w:effect w:val="none"/>
                </w:rPr>
                <w:t>32</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5.04</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Break-Funding</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2">
              <w:r>
                <w:rPr>
                  <w:rStyle w:val="InternetLink"/>
                  <w:rFonts w:ascii="Times New Roman;sans-serif" w:hAnsi="Times New Roman;sans-serif"/>
                  <w:b w:val="false"/>
                  <w:strike w:val="false"/>
                  <w:dstrike w:val="false"/>
                  <w:color w:val="000000"/>
                  <w:sz w:val="24"/>
                  <w:u w:val="none"/>
                  <w:effect w:val="none"/>
                </w:rPr>
                <w:t>32</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5.05</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3">
              <w:r>
                <w:rPr>
                  <w:rStyle w:val="InternetLink"/>
                  <w:rFonts w:ascii="Times New Roman;sans-serif" w:hAnsi="Times New Roman;sans-serif"/>
                  <w:b w:val="false"/>
                  <w:strike w:val="false"/>
                  <w:dstrike w:val="false"/>
                  <w:color w:val="000000"/>
                  <w:sz w:val="24"/>
                  <w:u w:val="none"/>
                  <w:effect w:val="none"/>
                </w:rPr>
                <w:t>33</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5.06</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Mitigation Obligations; Replacement of Lenders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4">
              <w:r>
                <w:rPr>
                  <w:rStyle w:val="InternetLink"/>
                  <w:rFonts w:ascii="Times New Roman;sans-serif" w:hAnsi="Times New Roman;sans-serif"/>
                  <w:b w:val="false"/>
                  <w:strike w:val="false"/>
                  <w:dstrike w:val="false"/>
                  <w:color w:val="000000"/>
                  <w:sz w:val="24"/>
                  <w:u w:val="none"/>
                  <w:effect w:val="none"/>
                </w:rPr>
                <w:t>36</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5.07</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Benchmark Replacement Setting</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5">
              <w:r>
                <w:rPr>
                  <w:rStyle w:val="InternetLink"/>
                  <w:rFonts w:ascii="Times New Roman;sans-serif" w:hAnsi="Times New Roman;sans-serif"/>
                  <w:b w:val="false"/>
                  <w:strike w:val="false"/>
                  <w:dstrike w:val="false"/>
                  <w:color w:val="000000"/>
                  <w:sz w:val="24"/>
                  <w:u w:val="none"/>
                  <w:effect w:val="none"/>
                </w:rPr>
                <w:t>37</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6.</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Precedent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6">
              <w:r>
                <w:rPr>
                  <w:rStyle w:val="InternetLink"/>
                  <w:rFonts w:ascii="Times New Roman;sans-serif" w:hAnsi="Times New Roman;sans-serif"/>
                  <w:b w:val="false"/>
                  <w:strike w:val="false"/>
                  <w:dstrike w:val="false"/>
                  <w:color w:val="000000"/>
                  <w:sz w:val="24"/>
                  <w:u w:val="none"/>
                  <w:effect w:val="none"/>
                </w:rPr>
                <w:t>38</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6.01</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to Effective Date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7">
              <w:r>
                <w:rPr>
                  <w:rStyle w:val="InternetLink"/>
                  <w:rFonts w:ascii="Times New Roman;sans-serif" w:hAnsi="Times New Roman;sans-serif"/>
                  <w:b w:val="false"/>
                  <w:strike w:val="false"/>
                  <w:dstrike w:val="false"/>
                  <w:color w:val="000000"/>
                  <w:sz w:val="24"/>
                  <w:u w:val="none"/>
                  <w:effect w:val="none"/>
                </w:rPr>
                <w:t>38</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6.02</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Conditions to a Borrowing</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8">
              <w:r>
                <w:rPr>
                  <w:rStyle w:val="InternetLink"/>
                  <w:rFonts w:ascii="Times New Roman;sans-serif" w:hAnsi="Times New Roman;sans-serif"/>
                  <w:b w:val="false"/>
                  <w:strike w:val="false"/>
                  <w:dstrike w:val="false"/>
                  <w:color w:val="000000"/>
                  <w:sz w:val="24"/>
                  <w:u w:val="none"/>
                  <w:effect w:val="none"/>
                </w:rPr>
                <w:t>40</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6.03</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Condition Subsequent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59">
              <w:r>
                <w:rPr>
                  <w:rStyle w:val="InternetLink"/>
                  <w:rFonts w:ascii="Times New Roman;sans-serif" w:hAnsi="Times New Roman;sans-serif"/>
                  <w:b w:val="false"/>
                  <w:strike w:val="false"/>
                  <w:dstrike w:val="false"/>
                  <w:color w:val="000000"/>
                  <w:sz w:val="24"/>
                  <w:u w:val="none"/>
                  <w:effect w:val="none"/>
                </w:rPr>
                <w:t>43</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7.</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Representations and Warranties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0">
              <w:r>
                <w:rPr>
                  <w:rStyle w:val="InternetLink"/>
                  <w:rFonts w:ascii="Times New Roman;sans-serif" w:hAnsi="Times New Roman;sans-serif"/>
                  <w:b w:val="false"/>
                  <w:strike w:val="false"/>
                  <w:dstrike w:val="false"/>
                  <w:color w:val="000000"/>
                  <w:sz w:val="24"/>
                  <w:u w:val="none"/>
                  <w:effect w:val="none"/>
                </w:rPr>
                <w:t>43</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7.01</w:t>
            </w:r>
          </w:p>
        </w:tc>
        <w:tc>
          <w:tcPr>
            <w:tcW w:w="4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Company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1">
              <w:r>
                <w:rPr>
                  <w:rStyle w:val="InternetLink"/>
                  <w:rFonts w:ascii="Times New Roman;sans-serif" w:hAnsi="Times New Roman;sans-serif"/>
                  <w:b w:val="false"/>
                  <w:strike w:val="false"/>
                  <w:dstrike w:val="false"/>
                  <w:color w:val="000000"/>
                  <w:sz w:val="24"/>
                  <w:u w:val="none"/>
                  <w:effect w:val="none"/>
                </w:rPr>
                <w:t>43</w:t>
              </w:r>
            </w:hyperlink>
          </w:p>
        </w:tc>
      </w:tr>
    </w:tbl>
    <w:p>
      <w:pPr>
        <w:pStyle w:val="TextBody"/>
        <w:spacing w:lineRule="auto" w:line="240" w:before="720" w:after="283"/>
        <w:ind w:left="0" w:right="0" w:hanging="1440"/>
        <w:jc w:val="center"/>
        <w:rPr/>
      </w:pPr>
      <w:r>
        <w:br w:type="page"/>
      </w:r>
      <w:r>
        <w:rPr>
          <w:rFonts w:ascii="Times New Roman;sans-serif" w:hAnsi="Times New Roman;sans-serif"/>
          <w:b/>
          <w:color w:val="000000"/>
          <w:sz w:val="24"/>
        </w:rPr>
        <w:t>T</w:t>
      </w:r>
      <w:r>
        <w:rPr>
          <w:rFonts w:ascii="Times New Roman;sans-serif" w:hAnsi="Times New Roman;sans-serif"/>
          <w:b/>
          <w:color w:val="000000"/>
          <w:sz w:val="24"/>
        </w:rPr>
        <w:t>ABLE OF CONTENTS</w:t>
      </w:r>
      <w:r>
        <w:rPr>
          <w:rFonts w:ascii="Times New Roman;sans-serif" w:hAnsi="Times New Roman;sans-serif"/>
          <w:b w:val="false"/>
          <w:color w:val="000000"/>
          <w:sz w:val="24"/>
        </w:rPr>
        <w:br/>
        <w:t>(continued)</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8650"/>
                <wp:effectExtent l="0" t="0" r="0" b="0"/>
                <wp:wrapNone/>
                <wp:docPr id="60" name="Frame5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26.1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8505" w:type="dxa"/>
        <w:jc w:val="left"/>
        <w:tblInd w:w="0" w:type="dxa"/>
        <w:tblCellMar>
          <w:top w:w="28" w:type="dxa"/>
          <w:left w:w="28" w:type="dxa"/>
          <w:bottom w:w="28" w:type="dxa"/>
          <w:right w:w="28" w:type="dxa"/>
        </w:tblCellMar>
      </w:tblPr>
      <w:tblGrid>
        <w:gridCol w:w="428"/>
        <w:gridCol w:w="376"/>
        <w:gridCol w:w="381"/>
        <w:gridCol w:w="2307"/>
        <w:gridCol w:w="2307"/>
        <w:gridCol w:w="2315"/>
        <w:gridCol w:w="114"/>
        <w:gridCol w:w="114"/>
        <w:gridCol w:w="163"/>
      </w:tblGrid>
      <w:tr>
        <w:trPr/>
        <w:tc>
          <w:tcPr>
            <w:tcW w:w="42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231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7.02</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Guarantor</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2">
              <w:r>
                <w:rPr>
                  <w:rStyle w:val="InternetLink"/>
                  <w:rFonts w:ascii="Times New Roman;sans-serif" w:hAnsi="Times New Roman;sans-serif"/>
                  <w:b w:val="false"/>
                  <w:strike w:val="false"/>
                  <w:dstrike w:val="false"/>
                  <w:color w:val="000000"/>
                  <w:sz w:val="24"/>
                  <w:u w:val="none"/>
                  <w:effect w:val="none"/>
                </w:rPr>
                <w:t>45</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8.</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Covenants of the Company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3">
              <w:r>
                <w:rPr>
                  <w:rStyle w:val="InternetLink"/>
                  <w:rFonts w:ascii="Times New Roman;sans-serif" w:hAnsi="Times New Roman;sans-serif"/>
                  <w:b w:val="false"/>
                  <w:strike w:val="false"/>
                  <w:dstrike w:val="false"/>
                  <w:color w:val="000000"/>
                  <w:sz w:val="24"/>
                  <w:u w:val="none"/>
                  <w:effect w:val="none"/>
                </w:rPr>
                <w:t>47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8.01</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Corporate Existence, Etc</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4">
              <w:r>
                <w:rPr>
                  <w:rStyle w:val="InternetLink"/>
                  <w:rFonts w:ascii="Times New Roman;sans-serif" w:hAnsi="Times New Roman;sans-serif"/>
                  <w:b w:val="false"/>
                  <w:strike w:val="false"/>
                  <w:dstrike w:val="false"/>
                  <w:color w:val="000000"/>
                  <w:sz w:val="24"/>
                  <w:u w:val="none"/>
                  <w:effect w:val="none"/>
                </w:rPr>
                <w:t>47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8.02</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of Change of Location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5">
              <w:r>
                <w:rPr>
                  <w:rStyle w:val="InternetLink"/>
                  <w:rFonts w:ascii="Times New Roman;sans-serif" w:hAnsi="Times New Roman;sans-serif"/>
                  <w:b w:val="false"/>
                  <w:strike w:val="false"/>
                  <w:dstrike w:val="false"/>
                  <w:color w:val="000000"/>
                  <w:sz w:val="24"/>
                  <w:u w:val="none"/>
                  <w:effect w:val="none"/>
                </w:rPr>
                <w:t>47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8.03</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Certain Assurances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6">
              <w:r>
                <w:rPr>
                  <w:rStyle w:val="InternetLink"/>
                  <w:rFonts w:ascii="Times New Roman;sans-serif" w:hAnsi="Times New Roman;sans-serif"/>
                  <w:b w:val="false"/>
                  <w:strike w:val="false"/>
                  <w:dstrike w:val="false"/>
                  <w:color w:val="000000"/>
                  <w:sz w:val="24"/>
                  <w:u w:val="none"/>
                  <w:effect w:val="none"/>
                </w:rPr>
                <w:t>47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8.04</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Financial Statements, Reporting, Notices, Etc</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7">
              <w:r>
                <w:rPr>
                  <w:rStyle w:val="InternetLink"/>
                  <w:rFonts w:ascii="Times New Roman;sans-serif" w:hAnsi="Times New Roman;sans-serif"/>
                  <w:b w:val="false"/>
                  <w:strike w:val="false"/>
                  <w:dstrike w:val="false"/>
                  <w:color w:val="000000"/>
                  <w:sz w:val="24"/>
                  <w:u w:val="none"/>
                  <w:effect w:val="none"/>
                </w:rPr>
                <w:t>48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8.05</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Keeping of Books; Information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8">
              <w:r>
                <w:rPr>
                  <w:rStyle w:val="InternetLink"/>
                  <w:rFonts w:ascii="Times New Roman;sans-serif" w:hAnsi="Times New Roman;sans-serif"/>
                  <w:b w:val="false"/>
                  <w:strike w:val="false"/>
                  <w:dstrike w:val="false"/>
                  <w:color w:val="000000"/>
                  <w:sz w:val="24"/>
                  <w:u w:val="none"/>
                  <w:effect w:val="none"/>
                </w:rPr>
                <w:t>48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8.06</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Compliance with Laws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69">
              <w:r>
                <w:rPr>
                  <w:rStyle w:val="InternetLink"/>
                  <w:rFonts w:ascii="Times New Roman;sans-serif" w:hAnsi="Times New Roman;sans-serif"/>
                  <w:b w:val="false"/>
                  <w:strike w:val="false"/>
                  <w:dstrike w:val="false"/>
                  <w:color w:val="000000"/>
                  <w:sz w:val="24"/>
                  <w:u w:val="none"/>
                  <w:effect w:val="none"/>
                </w:rPr>
                <w:t>48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8.07</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Negative Pledge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0">
              <w:r>
                <w:rPr>
                  <w:rStyle w:val="InternetLink"/>
                  <w:rFonts w:ascii="Times New Roman;sans-serif" w:hAnsi="Times New Roman;sans-serif"/>
                  <w:b w:val="false"/>
                  <w:strike w:val="false"/>
                  <w:dstrike w:val="false"/>
                  <w:color w:val="000000"/>
                  <w:sz w:val="24"/>
                  <w:u w:val="none"/>
                  <w:effect w:val="none"/>
                </w:rPr>
                <w:t>49</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8.08</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Mergers, Consolidations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1">
              <w:r>
                <w:rPr>
                  <w:rStyle w:val="InternetLink"/>
                  <w:rFonts w:ascii="Times New Roman;sans-serif" w:hAnsi="Times New Roman;sans-serif"/>
                  <w:b w:val="false"/>
                  <w:strike w:val="false"/>
                  <w:dstrike w:val="false"/>
                  <w:color w:val="000000"/>
                  <w:sz w:val="24"/>
                  <w:u w:val="none"/>
                  <w:effect w:val="none"/>
                </w:rPr>
                <w:t>49</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8.09</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Appraisals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2">
              <w:r>
                <w:rPr>
                  <w:rStyle w:val="InternetLink"/>
                  <w:rFonts w:ascii="Times New Roman;sans-serif" w:hAnsi="Times New Roman;sans-serif"/>
                  <w:b w:val="false"/>
                  <w:strike w:val="false"/>
                  <w:dstrike w:val="false"/>
                  <w:color w:val="000000"/>
                  <w:sz w:val="24"/>
                  <w:u w:val="none"/>
                  <w:effect w:val="none"/>
                </w:rPr>
                <w:t>49</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8.10</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Dispositions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3">
              <w:r>
                <w:rPr>
                  <w:rStyle w:val="InternetLink"/>
                  <w:rFonts w:ascii="Times New Roman;sans-serif" w:hAnsi="Times New Roman;sans-serif"/>
                  <w:b w:val="false"/>
                  <w:strike w:val="false"/>
                  <w:dstrike w:val="false"/>
                  <w:color w:val="000000"/>
                  <w:sz w:val="24"/>
                  <w:u w:val="none"/>
                  <w:effect w:val="none"/>
                </w:rPr>
                <w:t>49</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8.11</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Letters of Credit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4">
              <w:r>
                <w:rPr>
                  <w:rStyle w:val="InternetLink"/>
                  <w:rFonts w:ascii="Times New Roman;sans-serif" w:hAnsi="Times New Roman;sans-serif"/>
                  <w:b w:val="false"/>
                  <w:strike w:val="false"/>
                  <w:dstrike w:val="false"/>
                  <w:color w:val="000000"/>
                  <w:sz w:val="24"/>
                  <w:u w:val="none"/>
                  <w:effect w:val="none"/>
                </w:rPr>
                <w:t>49</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8.12</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KYC</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5">
              <w:r>
                <w:rPr>
                  <w:rStyle w:val="InternetLink"/>
                  <w:rFonts w:ascii="Times New Roman;sans-serif" w:hAnsi="Times New Roman;sans-serif"/>
                  <w:b w:val="false"/>
                  <w:strike w:val="false"/>
                  <w:dstrike w:val="false"/>
                  <w:color w:val="000000"/>
                  <w:sz w:val="24"/>
                  <w:u w:val="none"/>
                  <w:effect w:val="none"/>
                </w:rPr>
                <w:t>50</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8.13</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Servicer</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6">
              <w:r>
                <w:rPr>
                  <w:rStyle w:val="InternetLink"/>
                  <w:rFonts w:ascii="Times New Roman;sans-serif" w:hAnsi="Times New Roman;sans-serif"/>
                  <w:b w:val="false"/>
                  <w:strike w:val="false"/>
                  <w:dstrike w:val="false"/>
                  <w:color w:val="000000"/>
                  <w:sz w:val="24"/>
                  <w:u w:val="none"/>
                  <w:effect w:val="none"/>
                </w:rPr>
                <w:t>50</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9.</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Events of Default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7">
              <w:r>
                <w:rPr>
                  <w:rStyle w:val="InternetLink"/>
                  <w:rFonts w:ascii="Times New Roman;sans-serif" w:hAnsi="Times New Roman;sans-serif"/>
                  <w:b w:val="false"/>
                  <w:strike w:val="false"/>
                  <w:dstrike w:val="false"/>
                  <w:color w:val="000000"/>
                  <w:sz w:val="24"/>
                  <w:u w:val="none"/>
                  <w:effect w:val="none"/>
                </w:rPr>
                <w:t>51</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10.</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Guarantee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8">
              <w:r>
                <w:rPr>
                  <w:rStyle w:val="InternetLink"/>
                  <w:rFonts w:ascii="Times New Roman;sans-serif" w:hAnsi="Times New Roman;sans-serif"/>
                  <w:b w:val="false"/>
                  <w:strike w:val="false"/>
                  <w:dstrike w:val="false"/>
                  <w:color w:val="000000"/>
                  <w:sz w:val="24"/>
                  <w:u w:val="none"/>
                  <w:effect w:val="none"/>
                </w:rPr>
                <w:t>52</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10.01</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Guarantee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79">
              <w:r>
                <w:rPr>
                  <w:rStyle w:val="InternetLink"/>
                  <w:rFonts w:ascii="Times New Roman;sans-serif" w:hAnsi="Times New Roman;sans-serif"/>
                  <w:b w:val="false"/>
                  <w:strike w:val="false"/>
                  <w:dstrike w:val="false"/>
                  <w:color w:val="000000"/>
                  <w:sz w:val="24"/>
                  <w:u w:val="none"/>
                  <w:effect w:val="none"/>
                </w:rPr>
                <w:t>52</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10.02</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Obligations Unconditional</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0">
              <w:r>
                <w:rPr>
                  <w:rStyle w:val="InternetLink"/>
                  <w:rFonts w:ascii="Times New Roman;sans-serif" w:hAnsi="Times New Roman;sans-serif"/>
                  <w:b w:val="false"/>
                  <w:strike w:val="false"/>
                  <w:dstrike w:val="false"/>
                  <w:color w:val="000000"/>
                  <w:sz w:val="24"/>
                  <w:u w:val="none"/>
                  <w:effect w:val="none"/>
                </w:rPr>
                <w:t>53</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10.03</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Reinstatement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1">
              <w:r>
                <w:rPr>
                  <w:rStyle w:val="InternetLink"/>
                  <w:rFonts w:ascii="Times New Roman;sans-serif" w:hAnsi="Times New Roman;sans-serif"/>
                  <w:b w:val="false"/>
                  <w:strike w:val="false"/>
                  <w:dstrike w:val="false"/>
                  <w:color w:val="000000"/>
                  <w:sz w:val="24"/>
                  <w:u w:val="none"/>
                  <w:effect w:val="none"/>
                </w:rPr>
                <w:t>54</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10.04</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Subrogation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2">
              <w:r>
                <w:rPr>
                  <w:rStyle w:val="InternetLink"/>
                  <w:rFonts w:ascii="Times New Roman;sans-serif" w:hAnsi="Times New Roman;sans-serif"/>
                  <w:b w:val="false"/>
                  <w:strike w:val="false"/>
                  <w:dstrike w:val="false"/>
                  <w:color w:val="000000"/>
                  <w:sz w:val="24"/>
                  <w:u w:val="none"/>
                  <w:effect w:val="none"/>
                </w:rPr>
                <w:t>54</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10.05</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Remedies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3">
              <w:r>
                <w:rPr>
                  <w:rStyle w:val="InternetLink"/>
                  <w:rFonts w:ascii="Times New Roman;sans-serif" w:hAnsi="Times New Roman;sans-serif"/>
                  <w:b w:val="false"/>
                  <w:strike w:val="false"/>
                  <w:dstrike w:val="false"/>
                  <w:color w:val="000000"/>
                  <w:sz w:val="24"/>
                  <w:u w:val="none"/>
                  <w:effect w:val="none"/>
                </w:rPr>
                <w:t>54</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10.06</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Instrument for the Payment of Money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4">
              <w:r>
                <w:rPr>
                  <w:rStyle w:val="InternetLink"/>
                  <w:rFonts w:ascii="Times New Roman;sans-serif" w:hAnsi="Times New Roman;sans-serif"/>
                  <w:b w:val="false"/>
                  <w:strike w:val="false"/>
                  <w:dstrike w:val="false"/>
                  <w:color w:val="000000"/>
                  <w:sz w:val="24"/>
                  <w:u w:val="none"/>
                  <w:effect w:val="none"/>
                </w:rPr>
                <w:t>54</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10.07</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Continuing Guarantee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5">
              <w:r>
                <w:rPr>
                  <w:rStyle w:val="InternetLink"/>
                  <w:rFonts w:ascii="Times New Roman;sans-serif" w:hAnsi="Times New Roman;sans-serif"/>
                  <w:b w:val="false"/>
                  <w:strike w:val="false"/>
                  <w:dstrike w:val="false"/>
                  <w:color w:val="000000"/>
                  <w:sz w:val="24"/>
                  <w:u w:val="none"/>
                  <w:effect w:val="none"/>
                </w:rPr>
                <w:t>54</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10.08</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General Limitation on Guarantee Obligations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6">
              <w:r>
                <w:rPr>
                  <w:rStyle w:val="InternetLink"/>
                  <w:rFonts w:ascii="Times New Roman;sans-serif" w:hAnsi="Times New Roman;sans-serif"/>
                  <w:b w:val="false"/>
                  <w:strike w:val="false"/>
                  <w:dstrike w:val="false"/>
                  <w:color w:val="000000"/>
                  <w:sz w:val="24"/>
                  <w:u w:val="none"/>
                  <w:effect w:val="none"/>
                </w:rPr>
                <w:t>54</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11.</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Agents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7">
              <w:r>
                <w:rPr>
                  <w:rStyle w:val="InternetLink"/>
                  <w:rFonts w:ascii="Times New Roman;sans-serif" w:hAnsi="Times New Roman;sans-serif"/>
                  <w:b w:val="false"/>
                  <w:strike w:val="false"/>
                  <w:dstrike w:val="false"/>
                  <w:color w:val="000000"/>
                  <w:sz w:val="24"/>
                  <w:u w:val="none"/>
                  <w:effect w:val="none"/>
                </w:rPr>
                <w:t>55</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11.01</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Appointment and Authority; Certain Security Trustee Actions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8">
              <w:r>
                <w:rPr>
                  <w:rStyle w:val="InternetLink"/>
                  <w:rFonts w:ascii="Times New Roman;sans-serif" w:hAnsi="Times New Roman;sans-serif"/>
                  <w:b w:val="false"/>
                  <w:strike w:val="false"/>
                  <w:dstrike w:val="false"/>
                  <w:color w:val="000000"/>
                  <w:sz w:val="24"/>
                  <w:u w:val="none"/>
                  <w:effect w:val="none"/>
                </w:rPr>
                <w:t>55</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11.02</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Rights as a Lender</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89">
              <w:r>
                <w:rPr>
                  <w:rStyle w:val="InternetLink"/>
                  <w:rFonts w:ascii="Times New Roman;sans-serif" w:hAnsi="Times New Roman;sans-serif"/>
                  <w:b w:val="false"/>
                  <w:strike w:val="false"/>
                  <w:dstrike w:val="false"/>
                  <w:color w:val="000000"/>
                  <w:sz w:val="24"/>
                  <w:u w:val="none"/>
                  <w:effect w:val="none"/>
                </w:rPr>
                <w:t>56</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11.03</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Duties of Agents; Exculpatory Provisions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0">
              <w:r>
                <w:rPr>
                  <w:rStyle w:val="InternetLink"/>
                  <w:rFonts w:ascii="Times New Roman;sans-serif" w:hAnsi="Times New Roman;sans-serif"/>
                  <w:b w:val="false"/>
                  <w:strike w:val="false"/>
                  <w:dstrike w:val="false"/>
                  <w:color w:val="000000"/>
                  <w:sz w:val="24"/>
                  <w:u w:val="none"/>
                  <w:effect w:val="none"/>
                </w:rPr>
                <w:t>57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11.04</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Reliance by Agents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1">
              <w:r>
                <w:rPr>
                  <w:rStyle w:val="InternetLink"/>
                  <w:rFonts w:ascii="Times New Roman;sans-serif" w:hAnsi="Times New Roman;sans-serif"/>
                  <w:b w:val="false"/>
                  <w:strike w:val="false"/>
                  <w:dstrike w:val="false"/>
                  <w:color w:val="000000"/>
                  <w:sz w:val="24"/>
                  <w:u w:val="none"/>
                  <w:effect w:val="none"/>
                </w:rPr>
                <w:t>57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11.05</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Delegation of Duties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2">
              <w:r>
                <w:rPr>
                  <w:rStyle w:val="InternetLink"/>
                  <w:rFonts w:ascii="Times New Roman;sans-serif" w:hAnsi="Times New Roman;sans-serif"/>
                  <w:b w:val="false"/>
                  <w:strike w:val="false"/>
                  <w:dstrike w:val="false"/>
                  <w:color w:val="000000"/>
                  <w:sz w:val="24"/>
                  <w:u w:val="none"/>
                  <w:effect w:val="none"/>
                </w:rPr>
                <w:t>58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11.06</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Resignation of Agents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3">
              <w:r>
                <w:rPr>
                  <w:rStyle w:val="InternetLink"/>
                  <w:rFonts w:ascii="Times New Roman;sans-serif" w:hAnsi="Times New Roman;sans-serif"/>
                  <w:b w:val="false"/>
                  <w:strike w:val="false"/>
                  <w:dstrike w:val="false"/>
                  <w:color w:val="000000"/>
                  <w:sz w:val="24"/>
                  <w:u w:val="none"/>
                  <w:effect w:val="none"/>
                </w:rPr>
                <w:t>58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11.07</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Non-Reliance on Agents or Other Lenders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5">
              <w:r>
                <w:rPr>
                  <w:rStyle w:val="InternetLink"/>
                  <w:rFonts w:ascii="Times New Roman;sans-serif" w:hAnsi="Times New Roman;sans-serif"/>
                  <w:b w:val="false"/>
                  <w:strike w:val="false"/>
                  <w:dstrike w:val="false"/>
                  <w:color w:val="000000"/>
                  <w:sz w:val="24"/>
                  <w:u w:val="none"/>
                  <w:effect w:val="none"/>
                </w:rPr>
                <w:t>59</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11.08</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Force Majeure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6">
              <w:r>
                <w:rPr>
                  <w:rStyle w:val="InternetLink"/>
                  <w:rFonts w:ascii="Times New Roman;sans-serif" w:hAnsi="Times New Roman;sans-serif"/>
                  <w:b w:val="false"/>
                  <w:strike w:val="false"/>
                  <w:dstrike w:val="false"/>
                  <w:color w:val="000000"/>
                  <w:sz w:val="24"/>
                  <w:u w:val="none"/>
                  <w:effect w:val="none"/>
                </w:rPr>
                <w:t>59</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90"/>
              <w:jc w:val="left"/>
              <w:rPr>
                <w:rFonts w:ascii="Times New Roman;sans-serif" w:hAnsi="Times New Roman;sans-serif"/>
                <w:b w:val="false"/>
                <w:color w:val="000000"/>
                <w:sz w:val="24"/>
              </w:rPr>
            </w:pPr>
            <w:r>
              <w:rPr>
                <w:rFonts w:ascii="Times New Roman;sans-serif" w:hAnsi="Times New Roman;sans-serif"/>
                <w:b w:val="false"/>
                <w:color w:val="000000"/>
                <w:sz w:val="24"/>
              </w:rPr>
              <w:t>Section 12.</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 Communications, Confidentiality and Treatment of Information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7">
              <w:r>
                <w:rPr>
                  <w:rStyle w:val="InternetLink"/>
                  <w:rFonts w:ascii="Times New Roman;sans-serif" w:hAnsi="Times New Roman;sans-serif"/>
                  <w:b w:val="false"/>
                  <w:strike w:val="false"/>
                  <w:dstrike w:val="false"/>
                  <w:color w:val="000000"/>
                  <w:sz w:val="24"/>
                  <w:u w:val="none"/>
                  <w:effect w:val="none"/>
                </w:rPr>
                <w:t>60</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12.01</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8">
              <w:r>
                <w:rPr>
                  <w:rStyle w:val="InternetLink"/>
                  <w:rFonts w:ascii="Times New Roman;sans-serif" w:hAnsi="Times New Roman;sans-serif"/>
                  <w:b w:val="false"/>
                  <w:strike w:val="false"/>
                  <w:dstrike w:val="false"/>
                  <w:color w:val="000000"/>
                  <w:sz w:val="24"/>
                  <w:u w:val="none"/>
                  <w:effect w:val="none"/>
                </w:rPr>
                <w:t>60</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12.02</w:t>
            </w:r>
          </w:p>
        </w:tc>
        <w:tc>
          <w:tcPr>
            <w:tcW w:w="6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Confidentiality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199">
              <w:r>
                <w:rPr>
                  <w:rStyle w:val="InternetLink"/>
                  <w:rFonts w:ascii="Times New Roman;sans-serif" w:hAnsi="Times New Roman;sans-serif"/>
                  <w:b w:val="false"/>
                  <w:strike w:val="false"/>
                  <w:dstrike w:val="false"/>
                  <w:color w:val="000000"/>
                  <w:sz w:val="24"/>
                  <w:u w:val="none"/>
                  <w:effect w:val="none"/>
                </w:rPr>
                <w:t>61</w:t>
              </w:r>
            </w:hyperlink>
          </w:p>
        </w:tc>
      </w:tr>
    </w:tbl>
    <w:p>
      <w:pPr>
        <w:pStyle w:val="TextBody"/>
        <w:spacing w:lineRule="auto" w:line="240" w:before="720" w:after="283"/>
        <w:ind w:left="0" w:right="0" w:hanging="1440"/>
        <w:jc w:val="center"/>
        <w:rPr/>
      </w:pPr>
      <w:r>
        <w:br w:type="page"/>
      </w:r>
      <w:r>
        <w:rPr>
          <w:rFonts w:ascii="Times New Roman;sans-serif" w:hAnsi="Times New Roman;sans-serif"/>
          <w:b/>
          <w:color w:val="000000"/>
          <w:sz w:val="24"/>
        </w:rPr>
        <w:t>T</w:t>
      </w:r>
      <w:r>
        <w:rPr>
          <w:rFonts w:ascii="Times New Roman;sans-serif" w:hAnsi="Times New Roman;sans-serif"/>
          <w:b/>
          <w:color w:val="000000"/>
          <w:sz w:val="24"/>
        </w:rPr>
        <w:t>ABLE OF CONTENTS</w:t>
      </w:r>
      <w:r>
        <w:rPr>
          <w:rFonts w:ascii="Times New Roman;sans-serif" w:hAnsi="Times New Roman;sans-serif"/>
          <w:b w:val="false"/>
          <w:color w:val="000000"/>
          <w:sz w:val="24"/>
        </w:rPr>
        <w:br/>
        <w:t>(continued)</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8650"/>
                <wp:effectExtent l="0" t="0" r="0" b="0"/>
                <wp:wrapNone/>
                <wp:docPr id="61" name="Frame6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26.1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9886" w:type="dxa"/>
        <w:jc w:val="left"/>
        <w:tblInd w:w="0" w:type="dxa"/>
        <w:tblCellMar>
          <w:top w:w="28" w:type="dxa"/>
          <w:left w:w="28" w:type="dxa"/>
          <w:bottom w:w="28" w:type="dxa"/>
          <w:right w:w="28" w:type="dxa"/>
        </w:tblCellMar>
      </w:tblPr>
      <w:tblGrid>
        <w:gridCol w:w="429"/>
        <w:gridCol w:w="377"/>
        <w:gridCol w:w="379"/>
        <w:gridCol w:w="2766"/>
        <w:gridCol w:w="2766"/>
        <w:gridCol w:w="2778"/>
        <w:gridCol w:w="114"/>
        <w:gridCol w:w="114"/>
        <w:gridCol w:w="163"/>
      </w:tblGrid>
      <w:tr>
        <w:trPr/>
        <w:tc>
          <w:tcPr>
            <w:tcW w:w="429"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2766" w:type="dxa"/>
            <w:tcBorders/>
            <w:shd w:fill="auto" w:val="clear"/>
            <w:vAlign w:val="center"/>
          </w:tcPr>
          <w:p>
            <w:pPr>
              <w:pStyle w:val="TableContents"/>
              <w:spacing w:before="0" w:after="283"/>
              <w:rPr>
                <w:sz w:val="4"/>
                <w:szCs w:val="4"/>
              </w:rPr>
            </w:pPr>
            <w:r>
              <w:rPr>
                <w:sz w:val="4"/>
                <w:szCs w:val="4"/>
              </w:rPr>
            </w:r>
          </w:p>
        </w:tc>
        <w:tc>
          <w:tcPr>
            <w:tcW w:w="2766" w:type="dxa"/>
            <w:tcBorders/>
            <w:shd w:fill="auto" w:val="clear"/>
            <w:vAlign w:val="center"/>
          </w:tcPr>
          <w:p>
            <w:pPr>
              <w:pStyle w:val="TableContents"/>
              <w:spacing w:before="0" w:after="283"/>
              <w:rPr>
                <w:sz w:val="4"/>
                <w:szCs w:val="4"/>
              </w:rPr>
            </w:pPr>
            <w:r>
              <w:rPr>
                <w:sz w:val="4"/>
                <w:szCs w:val="4"/>
              </w:rPr>
            </w:r>
          </w:p>
        </w:tc>
        <w:tc>
          <w:tcPr>
            <w:tcW w:w="277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13.</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Miscellaneous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0">
              <w:r>
                <w:rPr>
                  <w:rStyle w:val="InternetLink"/>
                  <w:rFonts w:ascii="Times New Roman;sans-serif" w:hAnsi="Times New Roman;sans-serif"/>
                  <w:b w:val="false"/>
                  <w:strike w:val="false"/>
                  <w:dstrike w:val="false"/>
                  <w:color w:val="000000"/>
                  <w:sz w:val="24"/>
                  <w:u w:val="none"/>
                  <w:effect w:val="none"/>
                </w:rPr>
                <w:t>61</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13.01</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Waiver</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1">
              <w:r>
                <w:rPr>
                  <w:rStyle w:val="InternetLink"/>
                  <w:rFonts w:ascii="Times New Roman;sans-serif" w:hAnsi="Times New Roman;sans-serif"/>
                  <w:b w:val="false"/>
                  <w:strike w:val="false"/>
                  <w:dstrike w:val="false"/>
                  <w:color w:val="000000"/>
                  <w:sz w:val="24"/>
                  <w:u w:val="none"/>
                  <w:effect w:val="none"/>
                </w:rPr>
                <w:t>61</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13.02</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Expenses, Etc</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2">
              <w:r>
                <w:rPr>
                  <w:rStyle w:val="InternetLink"/>
                  <w:rFonts w:ascii="Times New Roman;sans-serif" w:hAnsi="Times New Roman;sans-serif"/>
                  <w:b w:val="false"/>
                  <w:strike w:val="false"/>
                  <w:dstrike w:val="false"/>
                  <w:color w:val="000000"/>
                  <w:sz w:val="24"/>
                  <w:u w:val="none"/>
                  <w:effect w:val="none"/>
                </w:rPr>
                <w:t>61</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13.03</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 Etc</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3">
              <w:r>
                <w:rPr>
                  <w:rStyle w:val="InternetLink"/>
                  <w:rFonts w:ascii="Times New Roman;sans-serif" w:hAnsi="Times New Roman;sans-serif"/>
                  <w:b w:val="false"/>
                  <w:strike w:val="false"/>
                  <w:dstrike w:val="false"/>
                  <w:color w:val="000000"/>
                  <w:sz w:val="24"/>
                  <w:u w:val="none"/>
                  <w:effect w:val="none"/>
                </w:rPr>
                <w:t>63</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13.04</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Successors and Assigns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4">
              <w:r>
                <w:rPr>
                  <w:rStyle w:val="InternetLink"/>
                  <w:rFonts w:ascii="Times New Roman;sans-serif" w:hAnsi="Times New Roman;sans-serif"/>
                  <w:b w:val="false"/>
                  <w:strike w:val="false"/>
                  <w:dstrike w:val="false"/>
                  <w:color w:val="000000"/>
                  <w:sz w:val="24"/>
                  <w:u w:val="none"/>
                  <w:effect w:val="none"/>
                </w:rPr>
                <w:t>63</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13.05</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Survival</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5">
              <w:r>
                <w:rPr>
                  <w:rStyle w:val="InternetLink"/>
                  <w:rFonts w:ascii="Times New Roman;sans-serif" w:hAnsi="Times New Roman;sans-serif"/>
                  <w:b w:val="false"/>
                  <w:strike w:val="false"/>
                  <w:dstrike w:val="false"/>
                  <w:color w:val="000000"/>
                  <w:sz w:val="24"/>
                  <w:u w:val="none"/>
                  <w:effect w:val="none"/>
                </w:rPr>
                <w:t>66</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13.06</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6">
              <w:r>
                <w:rPr>
                  <w:rStyle w:val="InternetLink"/>
                  <w:rFonts w:ascii="Times New Roman;sans-serif" w:hAnsi="Times New Roman;sans-serif"/>
                  <w:b w:val="false"/>
                  <w:strike w:val="false"/>
                  <w:dstrike w:val="false"/>
                  <w:color w:val="000000"/>
                  <w:sz w:val="24"/>
                  <w:u w:val="none"/>
                  <w:effect w:val="none"/>
                </w:rPr>
                <w:t>66</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13.07</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7">
              <w:r>
                <w:rPr>
                  <w:rStyle w:val="InternetLink"/>
                  <w:rFonts w:ascii="Times New Roman;sans-serif" w:hAnsi="Times New Roman;sans-serif"/>
                  <w:b w:val="false"/>
                  <w:strike w:val="false"/>
                  <w:dstrike w:val="false"/>
                  <w:color w:val="000000"/>
                  <w:sz w:val="24"/>
                  <w:u w:val="none"/>
                  <w:effect w:val="none"/>
                </w:rPr>
                <w:t>66</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13.08</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 Jurisdiction, Service of Process and Venue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8">
              <w:r>
                <w:rPr>
                  <w:rStyle w:val="InternetLink"/>
                  <w:rFonts w:ascii="Times New Roman;sans-serif" w:hAnsi="Times New Roman;sans-serif"/>
                  <w:b w:val="false"/>
                  <w:strike w:val="false"/>
                  <w:dstrike w:val="false"/>
                  <w:color w:val="000000"/>
                  <w:sz w:val="24"/>
                  <w:u w:val="none"/>
                  <w:effect w:val="none"/>
                </w:rPr>
                <w:t>67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13.09</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09">
              <w:r>
                <w:rPr>
                  <w:rStyle w:val="InternetLink"/>
                  <w:rFonts w:ascii="Times New Roman;sans-serif" w:hAnsi="Times New Roman;sans-serif"/>
                  <w:b w:val="false"/>
                  <w:strike w:val="false"/>
                  <w:dstrike w:val="false"/>
                  <w:color w:val="000000"/>
                  <w:sz w:val="24"/>
                  <w:u w:val="none"/>
                  <w:effect w:val="none"/>
                </w:rPr>
                <w:t>67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13.10</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Immunity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10">
              <w:r>
                <w:rPr>
                  <w:rStyle w:val="InternetLink"/>
                  <w:rFonts w:ascii="Times New Roman;sans-serif" w:hAnsi="Times New Roman;sans-serif"/>
                  <w:b w:val="false"/>
                  <w:strike w:val="false"/>
                  <w:dstrike w:val="false"/>
                  <w:color w:val="000000"/>
                  <w:sz w:val="24"/>
                  <w:u w:val="none"/>
                  <w:effect w:val="none"/>
                </w:rPr>
                <w:t>67</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13.11</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Rate Limitation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11">
              <w:r>
                <w:rPr>
                  <w:rStyle w:val="InternetLink"/>
                  <w:rFonts w:ascii="Times New Roman;sans-serif" w:hAnsi="Times New Roman;sans-serif"/>
                  <w:b w:val="false"/>
                  <w:strike w:val="false"/>
                  <w:dstrike w:val="false"/>
                  <w:color w:val="000000"/>
                  <w:sz w:val="24"/>
                  <w:u w:val="none"/>
                  <w:effect w:val="none"/>
                </w:rPr>
                <w:t>68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13.12</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Entire Agreement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12">
              <w:r>
                <w:rPr>
                  <w:rStyle w:val="InternetLink"/>
                  <w:rFonts w:ascii="Times New Roman;sans-serif" w:hAnsi="Times New Roman;sans-serif"/>
                  <w:b w:val="false"/>
                  <w:strike w:val="false"/>
                  <w:dstrike w:val="false"/>
                  <w:color w:val="000000"/>
                  <w:sz w:val="24"/>
                  <w:u w:val="none"/>
                  <w:effect w:val="none"/>
                </w:rPr>
                <w:t>68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13.13</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Severability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13">
              <w:r>
                <w:rPr>
                  <w:rStyle w:val="InternetLink"/>
                  <w:rFonts w:ascii="Times New Roman;sans-serif" w:hAnsi="Times New Roman;sans-serif"/>
                  <w:b w:val="false"/>
                  <w:strike w:val="false"/>
                  <w:dstrike w:val="false"/>
                  <w:color w:val="000000"/>
                  <w:sz w:val="24"/>
                  <w:u w:val="none"/>
                  <w:effect w:val="none"/>
                </w:rPr>
                <w:t>68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13.14</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Advisory or Fiduciary Relationship</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14">
              <w:r>
                <w:rPr>
                  <w:rStyle w:val="InternetLink"/>
                  <w:rFonts w:ascii="Times New Roman;sans-serif" w:hAnsi="Times New Roman;sans-serif"/>
                  <w:b w:val="false"/>
                  <w:strike w:val="false"/>
                  <w:dstrike w:val="false"/>
                  <w:color w:val="000000"/>
                  <w:sz w:val="24"/>
                  <w:u w:val="none"/>
                  <w:effect w:val="none"/>
                </w:rPr>
                <w:t>68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90"/>
              <w:jc w:val="center"/>
              <w:rPr>
                <w:rFonts w:ascii="Times New Roman;sans-serif" w:hAnsi="Times New Roman;sans-serif"/>
                <w:b w:val="false"/>
                <w:color w:val="000000"/>
                <w:sz w:val="24"/>
              </w:rPr>
            </w:pPr>
            <w:r>
              <w:rPr>
                <w:rFonts w:ascii="Times New Roman;sans-serif" w:hAnsi="Times New Roman;sans-serif"/>
                <w:b w:val="false"/>
                <w:color w:val="000000"/>
                <w:sz w:val="24"/>
              </w:rPr>
              <w:t>13.15</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Compliance with Anti-Money Laundering Laws, Anti-Corruption Laws and Sanctions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15">
              <w:r>
                <w:rPr>
                  <w:rStyle w:val="InternetLink"/>
                  <w:rFonts w:ascii="Times New Roman;sans-serif" w:hAnsi="Times New Roman;sans-serif"/>
                  <w:b w:val="false"/>
                  <w:strike w:val="false"/>
                  <w:dstrike w:val="false"/>
                  <w:color w:val="000000"/>
                  <w:sz w:val="24"/>
                  <w:u w:val="none"/>
                  <w:effect w:val="none"/>
                </w:rPr>
                <w:t>68</w:t>
              </w:r>
            </w:hyperlink>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90"/>
              <w:jc w:val="center"/>
              <w:rPr>
                <w:rFonts w:ascii="Times New Roman;sans-serif" w:hAnsi="Times New Roman;sans-serif"/>
                <w:b w:val="false"/>
                <w:color w:val="000000"/>
                <w:sz w:val="24"/>
              </w:rPr>
            </w:pPr>
            <w:r>
              <w:rPr>
                <w:rFonts w:ascii="Times New Roman;sans-serif" w:hAnsi="Times New Roman;sans-serif"/>
                <w:b w:val="false"/>
                <w:color w:val="000000"/>
                <w:sz w:val="24"/>
              </w:rPr>
              <w:t>13.16</w:t>
            </w:r>
          </w:p>
        </w:tc>
        <w:tc>
          <w:tcPr>
            <w:tcW w:w="8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Acknowledgement and Consent to Bail-In of Affected Financial Institutions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f80cd4713b44eeabaf249dd536c3245_262216">
              <w:r>
                <w:rPr>
                  <w:rStyle w:val="InternetLink"/>
                  <w:rFonts w:ascii="Times New Roman;sans-serif" w:hAnsi="Times New Roman;sans-serif"/>
                  <w:b w:val="false"/>
                  <w:strike w:val="false"/>
                  <w:dstrike w:val="false"/>
                  <w:color w:val="000000"/>
                  <w:sz w:val="24"/>
                  <w:u w:val="none"/>
                  <w:effect w:val="none"/>
                </w:rPr>
                <w:t>70</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tbl>
      <w:tblPr>
        <w:tblW w:w="6750" w:type="dxa"/>
        <w:jc w:val="left"/>
        <w:tblInd w:w="0" w:type="dxa"/>
        <w:tblCellMar>
          <w:top w:w="28" w:type="dxa"/>
          <w:left w:w="28" w:type="dxa"/>
          <w:bottom w:w="28" w:type="dxa"/>
          <w:right w:w="28" w:type="dxa"/>
        </w:tblCellMar>
      </w:tblPr>
      <w:tblGrid>
        <w:gridCol w:w="576"/>
        <w:gridCol w:w="505"/>
        <w:gridCol w:w="510"/>
        <w:gridCol w:w="1509"/>
        <w:gridCol w:w="1509"/>
        <w:gridCol w:w="2141"/>
      </w:tblGrid>
      <w:tr>
        <w:trPr/>
        <w:tc>
          <w:tcPr>
            <w:tcW w:w="576"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ANNEX 1</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Commitments</w:t>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1</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Aircraft and Engines</w:t>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2</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Initial Permitted Lease and Other Lease Documents</w:t>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3</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Amortization Schedules</w:t>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Form of Notice of Borrowing</w:t>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B</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Form of Mortgage and Security Agreement</w:t>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C</w:t>
            </w:r>
          </w:p>
        </w:tc>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Form of Assignment and Assumption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8650"/>
                <wp:effectExtent l="0" t="0" r="0" b="0"/>
                <wp:wrapNone/>
                <wp:docPr id="62" name="Frame6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color w:val="000000"/>
          <w:sz w:val="24"/>
        </w:rPr>
        <w:t>TERM LOAN AGREEMENT</w:t>
      </w:r>
      <w:r>
        <w:rPr>
          <w:color w:val="000000"/>
        </w:rPr>
        <w:t xml:space="preserve"> </w:t>
      </w:r>
      <w:r>
        <w:rPr>
          <w:rFonts w:ascii="Times New Roman;sans-serif" w:hAnsi="Times New Roman;sans-serif"/>
          <w:b w:val="false"/>
          <w:color w:val="000000"/>
          <w:sz w:val="24"/>
        </w:rPr>
        <w:t>dated as of March 16, 2023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xml:space="preserve">), among </w:t>
      </w:r>
      <w:r>
        <w:rPr>
          <w:rFonts w:ascii="Times New Roman;sans-serif" w:hAnsi="Times New Roman;sans-serif"/>
          <w:b/>
          <w:color w:val="000000"/>
          <w:sz w:val="24"/>
        </w:rPr>
        <w:t>SUN COUNTRY, INC. (d/b/a Sun Country Airlines)</w:t>
      </w:r>
      <w:r>
        <w:rPr>
          <w:rFonts w:ascii="Times New Roman;sans-serif" w:hAnsi="Times New Roman;sans-serif"/>
          <w:b w:val="false"/>
          <w:color w:val="000000"/>
          <w:sz w:val="24"/>
        </w:rPr>
        <w:t>, as borrower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SUN COUNTRY AIRLINES HOLDINGS, INC.</w:t>
      </w:r>
      <w:r>
        <w:rPr>
          <w:rFonts w:ascii="Times New Roman;sans-serif" w:hAnsi="Times New Roman;sans-serif"/>
          <w:b w:val="false"/>
          <w:color w:val="000000"/>
          <w:sz w:val="24"/>
        </w:rPr>
        <w:t>, as guarantor (the “</w:t>
      </w:r>
      <w:r>
        <w:rPr>
          <w:rFonts w:ascii="Times New Roman;sans-serif" w:hAnsi="Times New Roman;sans-serif"/>
          <w:b/>
          <w:color w:val="000000"/>
          <w:sz w:val="24"/>
        </w:rPr>
        <w:t>Guarantor</w:t>
      </w:r>
      <w:r>
        <w:rPr>
          <w:color w:val="000000"/>
        </w:rPr>
        <w:t>”</w:t>
      </w:r>
      <w:r>
        <w:rPr>
          <w:rFonts w:ascii="Times New Roman;sans-serif" w:hAnsi="Times New Roman;sans-serif"/>
          <w:b w:val="false"/>
          <w:color w:val="000000"/>
          <w:sz w:val="24"/>
        </w:rPr>
        <w:t>); each of the entities that is a signatory under the caption “</w:t>
      </w:r>
      <w:r>
        <w:rPr>
          <w:rFonts w:ascii="Times New Roman;sans-serif" w:hAnsi="Times New Roman;sans-serif"/>
          <w:b/>
          <w:color w:val="000000"/>
          <w:sz w:val="24"/>
        </w:rPr>
        <w:t>LENDERS</w:t>
      </w:r>
      <w:r>
        <w:rPr>
          <w:color w:val="000000"/>
        </w:rPr>
        <w:t xml:space="preserve">” </w:t>
      </w:r>
      <w:r>
        <w:rPr>
          <w:rFonts w:ascii="Times New Roman;sans-serif" w:hAnsi="Times New Roman;sans-serif"/>
          <w:b w:val="false"/>
          <w:color w:val="000000"/>
          <w:sz w:val="24"/>
        </w:rPr>
        <w:t>on the signature pages hereto, and each entity that becomes a “Lender” after the date hereof pursuant to Section 13.04(b), as lenders (individually, a “</w:t>
      </w:r>
      <w:r>
        <w:rPr>
          <w:rFonts w:ascii="Times New Roman;sans-serif" w:hAnsi="Times New Roman;sans-serif"/>
          <w:b/>
          <w:color w:val="000000"/>
          <w:sz w:val="24"/>
        </w:rPr>
        <w:t>Lender</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color w:val="000000"/>
          <w:sz w:val="24"/>
        </w:rPr>
        <w:t>Lenders</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UMB BANK, NATIONAL ASSOCIATION</w:t>
      </w:r>
      <w:r>
        <w:rPr>
          <w:rFonts w:ascii="Times New Roman;sans-serif" w:hAnsi="Times New Roman;sans-serif"/>
          <w:b w:val="false"/>
          <w:color w:val="000000"/>
          <w:sz w:val="24"/>
        </w:rPr>
        <w:t>, not in its individual capacity but solely as facility agent for the Lenders (in such capacity, together with its successors in such capacity, the “</w:t>
      </w:r>
      <w:r>
        <w:rPr>
          <w:rFonts w:ascii="Times New Roman;sans-serif" w:hAnsi="Times New Roman;sans-serif"/>
          <w:b/>
          <w:color w:val="000000"/>
          <w:sz w:val="24"/>
        </w:rPr>
        <w:t>Facility Agent</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UMB BANK, NATIONAL ASSOCIATION</w:t>
      </w:r>
      <w:r>
        <w:rPr>
          <w:rFonts w:ascii="Times New Roman;sans-serif" w:hAnsi="Times New Roman;sans-serif"/>
          <w:b w:val="false"/>
          <w:color w:val="000000"/>
          <w:sz w:val="24"/>
        </w:rPr>
        <w:t>, not in its individual capacity but solely as security trustee for the Lenders (in such capacity, together with its successors in such capacity, the “</w:t>
      </w:r>
      <w:r>
        <w:rPr>
          <w:rFonts w:ascii="Times New Roman;sans-serif" w:hAnsi="Times New Roman;sans-serif"/>
          <w:b/>
          <w:color w:val="000000"/>
          <w:sz w:val="24"/>
        </w:rPr>
        <w:t>Security Trustee</w:t>
      </w:r>
      <w:r>
        <w:rPr>
          <w:color w:val="000000"/>
        </w:rPr>
        <w:t>”</w:t>
      </w:r>
      <w:r>
        <w:rPr>
          <w:rFonts w:ascii="Times New Roman;sans-serif" w:hAnsi="Times New Roman;sans-serif"/>
          <w:b w:val="false"/>
          <w:color w:val="000000"/>
          <w:sz w:val="24"/>
        </w:rPr>
        <w:t>) and as account bank (in such capacity, the “</w:t>
      </w:r>
      <w:r>
        <w:rPr>
          <w:rFonts w:ascii="Times New Roman;sans-serif" w:hAnsi="Times New Roman;sans-serif"/>
          <w:b/>
          <w:color w:val="000000"/>
          <w:sz w:val="24"/>
        </w:rPr>
        <w:t>Account Bank</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The Company has requested the Lenders to make loans to the Company to be used for acquisition of the Aircraft and for other general corporate purposes, and the Lenders are prepared to make such loans on and subject to the terms and conditions hereof. Accordingly, the parties agree as follows:</w:t>
      </w:r>
    </w:p>
    <w:p>
      <w:pPr>
        <w:pStyle w:val="TextBody"/>
        <w:spacing w:lineRule="auto" w:line="240" w:before="0" w:after="240"/>
        <w:ind w:left="0" w:right="0" w:firstLine="720"/>
        <w:rPr/>
      </w:pPr>
      <w:bookmarkStart w:id="0" w:name="i8f80cd4713b44eeabaf249dd536c3245_262125"/>
      <w:bookmarkEnd w:id="0"/>
      <w:r>
        <w:rPr>
          <w:rFonts w:ascii="Times New Roman;sans-serif" w:hAnsi="Times New Roman;sans-serif"/>
          <w:b/>
          <w:color w:val="000000"/>
          <w:sz w:val="24"/>
        </w:rPr>
        <w:t>Section 1.</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spacing w:lineRule="auto" w:line="240" w:before="0" w:after="240"/>
        <w:ind w:left="0" w:right="0" w:firstLine="720"/>
        <w:rPr/>
      </w:pPr>
      <w:bookmarkStart w:id="1" w:name="i8f80cd4713b44eeabaf249dd536c3245_262126"/>
      <w:bookmarkEnd w:id="1"/>
      <w:r>
        <w:rPr>
          <w:rFonts w:ascii="Times New Roman;sans-serif" w:hAnsi="Times New Roman;sans-serif"/>
          <w:b w:val="false"/>
          <w:color w:val="000000"/>
          <w:sz w:val="24"/>
        </w:rPr>
        <w:t>1.01    </w:t>
      </w:r>
      <w:r>
        <w:rPr>
          <w:rFonts w:ascii="Times New Roman;sans-serif" w:hAnsi="Times New Roman;sans-serif"/>
          <w:b w:val="false"/>
          <w:color w:val="000000"/>
          <w:sz w:val="24"/>
          <w:u w:val="single"/>
        </w:rPr>
        <w:t>Certain Defined Terms</w:t>
      </w:r>
      <w:r>
        <w:rPr>
          <w:rFonts w:ascii="Times New Roman;sans-serif" w:hAnsi="Times New Roman;sans-serif"/>
          <w:b w:val="false"/>
          <w:color w:val="000000"/>
          <w:sz w:val="24"/>
        </w:rPr>
        <w:t>. As used herein, the following terms have the following respective meanings: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Account Bank</w:t>
      </w:r>
      <w:r>
        <w:rPr>
          <w:color w:val="000000"/>
        </w:rPr>
        <w:t xml:space="preserve">” </w:t>
      </w:r>
      <w:r>
        <w:rPr>
          <w:rFonts w:ascii="Times New Roman;sans-serif" w:hAnsi="Times New Roman;sans-serif"/>
          <w:b w:val="false"/>
          <w:color w:val="000000"/>
          <w:sz w:val="24"/>
        </w:rPr>
        <w:t xml:space="preserve">means UMB Bank, National Association or such other account bank as may be selected by the Company and approved by the Facility Agent (acting at the instructions of the Majority Lenders) from time to time.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Act</w:t>
      </w:r>
      <w:r>
        <w:rPr>
          <w:color w:val="000000"/>
        </w:rPr>
        <w:t xml:space="preserve">” </w:t>
      </w:r>
      <w:r>
        <w:rPr>
          <w:rFonts w:ascii="Times New Roman;sans-serif" w:hAnsi="Times New Roman;sans-serif"/>
          <w:b w:val="false"/>
          <w:color w:val="000000"/>
          <w:sz w:val="24"/>
        </w:rPr>
        <w:t>means Part A of Subtitle VII of the United States Transportation Code (49 U.S.C., §§ 40101 et seq.).</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Actual Knowledge</w:t>
      </w:r>
      <w:r>
        <w:rPr>
          <w:color w:val="000000"/>
        </w:rPr>
        <w:t xml:space="preserve">” </w:t>
      </w:r>
      <w:r>
        <w:rPr>
          <w:rFonts w:ascii="Times New Roman;sans-serif" w:hAnsi="Times New Roman;sans-serif"/>
          <w:b w:val="false"/>
          <w:color w:val="000000"/>
          <w:sz w:val="24"/>
        </w:rPr>
        <w:t>means, with respect to any Person, actual knowledge of a vice president or more senior officer of such Person or any other officer of such Person having responsibility for the transactions contemplated by the Operative Documents.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Adjusted Term SOFR</w:t>
      </w:r>
      <w:r>
        <w:rPr>
          <w:color w:val="000000"/>
        </w:rPr>
        <w:t xml:space="preserve">” </w:t>
      </w:r>
      <w:r>
        <w:rPr>
          <w:rFonts w:ascii="Times New Roman;sans-serif" w:hAnsi="Times New Roman;sans-serif"/>
          <w:b w:val="false"/>
          <w:color w:val="000000"/>
          <w:sz w:val="24"/>
        </w:rPr>
        <w:t xml:space="preserve">means, for the purposes of any calculation, the rate per annum equal to (a) Term SOFR for such calculation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Credit Spread Adjustment.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Advance Amount</w:t>
      </w:r>
      <w:r>
        <w:rPr>
          <w:color w:val="000000"/>
        </w:rPr>
        <w:t xml:space="preserve">” </w:t>
      </w:r>
      <w:r>
        <w:rPr>
          <w:rFonts w:ascii="Times New Roman;sans-serif" w:hAnsi="Times New Roman;sans-serif"/>
          <w:b w:val="false"/>
          <w:color w:val="000000"/>
          <w:sz w:val="24"/>
        </w:rPr>
        <w:t xml:space="preserve">means, in respect of an Aircraft, the lesser of (a) the “Aircraft Loan Amount” specified for such Aircraft on Schedule 1 and (b) the product of (x) 75% and (y) the Purchase Price of such Aircraft.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Affected Lender</w:t>
      </w:r>
      <w:r>
        <w:rPr>
          <w:color w:val="000000"/>
        </w:rPr>
        <w:t xml:space="preserve">” </w:t>
      </w:r>
      <w:r>
        <w:rPr>
          <w:rFonts w:ascii="Times New Roman;sans-serif" w:hAnsi="Times New Roman;sans-serif"/>
          <w:b w:val="false"/>
          <w:color w:val="000000"/>
          <w:sz w:val="24"/>
        </w:rPr>
        <w:t>means (a) any Lender making a claim under Section 5.01 or Section 5.05, and (b) any Market Disruption Affected Lender.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Affiliate</w:t>
      </w:r>
      <w:r>
        <w:rPr>
          <w:color w:val="000000"/>
        </w:rPr>
        <w:t xml:space="preserve">” </w:t>
      </w:r>
      <w:r>
        <w:rPr>
          <w:rFonts w:ascii="Times New Roman;sans-serif" w:hAnsi="Times New Roman;sans-serif"/>
          <w:b w:val="false"/>
          <w:color w:val="000000"/>
          <w:sz w:val="24"/>
        </w:rPr>
        <w:t>means, as to any Person, any other Person that, directly or indirectly, controls, is controlled by or is under common control with such Person; and for purposes of this definition, the term “</w:t>
      </w:r>
      <w:r>
        <w:rPr>
          <w:rFonts w:ascii="Times New Roman;sans-serif" w:hAnsi="Times New Roman;sans-serif"/>
          <w:b/>
          <w:color w:val="000000"/>
          <w:sz w:val="24"/>
        </w:rPr>
        <w:t>control</w:t>
      </w:r>
      <w:r>
        <w:rPr>
          <w:color w:val="000000"/>
        </w:rPr>
        <w:t xml:space="preserve">” </w:t>
      </w:r>
      <w:r>
        <w:rPr>
          <w:rFonts w:ascii="Times New Roman;sans-serif" w:hAnsi="Times New Roman;sans-serif"/>
          <w:b w:val="false"/>
          <w:color w:val="000000"/>
          <w:sz w:val="24"/>
        </w:rPr>
        <w:t>(including the terms “</w:t>
      </w:r>
      <w:r>
        <w:rPr>
          <w:rFonts w:ascii="Times New Roman;sans-serif" w:hAnsi="Times New Roman;sans-serif"/>
          <w:b/>
          <w:color w:val="000000"/>
          <w:sz w:val="24"/>
        </w:rPr>
        <w:t>controlling</w:t>
      </w:r>
      <w:r>
        <w:rPr>
          <w:color w:val="000000"/>
        </w:rPr>
        <w:t>”</w:t>
      </w:r>
      <w:r>
        <w:rPr>
          <w:rFonts w:ascii="Times New Roman;sans-serif" w:hAnsi="Times New Roman;sans-serif"/>
          <w:b w:val="false"/>
          <w:color w:val="000000"/>
          <w:sz w:val="24"/>
        </w:rPr>
        <w:t>, “</w:t>
      </w:r>
      <w:r>
        <w:rPr>
          <w:rFonts w:ascii="Times New Roman;sans-serif" w:hAnsi="Times New Roman;sans-serif"/>
          <w:b/>
          <w:color w:val="000000"/>
          <w:sz w:val="24"/>
        </w:rPr>
        <w:t>controlled by</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under common control with</w:t>
      </w:r>
      <w:r>
        <w:rPr>
          <w:color w:val="000000"/>
        </w:rPr>
        <w:t>”</w:t>
      </w:r>
      <w:r>
        <w:rPr>
          <w:rFonts w:ascii="Times New Roman;sans-serif" w:hAnsi="Times New Roman;sans-serif"/>
          <w:b w:val="false"/>
          <w:color w:val="000000"/>
          <w:sz w:val="24"/>
        </w:rPr>
        <w:t>) of a Person shall mean the possession, direct or indirect, of the power to direct or cause the direction of the management and policies of such Person, whether through the ownership of Voting Shares, by contract or otherwise.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8650"/>
                <wp:effectExtent l="0" t="0" r="0" b="0"/>
                <wp:wrapNone/>
                <wp:docPr id="63" name="Frame6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Agent Fee Letter</w:t>
      </w:r>
      <w:r>
        <w:rPr>
          <w:color w:val="000000"/>
        </w:rPr>
        <w:t xml:space="preserve">” </w:t>
      </w:r>
      <w:r>
        <w:rPr>
          <w:rFonts w:ascii="Times New Roman;sans-serif" w:hAnsi="Times New Roman;sans-serif"/>
          <w:b w:val="false"/>
          <w:color w:val="000000"/>
          <w:sz w:val="24"/>
        </w:rPr>
        <w:t>means that certain letter agreement dated March 16, 2023, among the Company, the Facility Agent and the Security Trustee relating to the agency fees payable in connection with the Loan Documents.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Agent Group</w:t>
      </w:r>
      <w:r>
        <w:rPr>
          <w:color w:val="000000"/>
        </w:rPr>
        <w:t xml:space="preserve">” </w:t>
      </w:r>
      <w:r>
        <w:rPr>
          <w:rFonts w:ascii="Times New Roman;sans-serif" w:hAnsi="Times New Roman;sans-serif"/>
          <w:b w:val="false"/>
          <w:color w:val="000000"/>
          <w:sz w:val="24"/>
        </w:rPr>
        <w:t>has the meaning set forth in Section 11.02(b).</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Agents</w:t>
      </w:r>
      <w:r>
        <w:rPr>
          <w:color w:val="000000"/>
        </w:rPr>
        <w:t xml:space="preserve">” </w:t>
      </w:r>
      <w:r>
        <w:rPr>
          <w:rFonts w:ascii="Times New Roman;sans-serif" w:hAnsi="Times New Roman;sans-serif"/>
          <w:b w:val="false"/>
          <w:color w:val="000000"/>
          <w:sz w:val="24"/>
        </w:rPr>
        <w:t>means, collectively, the Facility Agent, the Security Trustee and the Account Bank.</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Aircraft</w:t>
      </w:r>
      <w:r>
        <w:rPr>
          <w:color w:val="000000"/>
        </w:rPr>
        <w:t xml:space="preserve">” </w:t>
      </w:r>
      <w:r>
        <w:rPr>
          <w:rFonts w:ascii="Times New Roman;sans-serif" w:hAnsi="Times New Roman;sans-serif"/>
          <w:b w:val="false"/>
          <w:color w:val="000000"/>
          <w:sz w:val="24"/>
        </w:rPr>
        <w:t>means (i) individually, an Airframe, together with the related Engines, whether or not any of such Engines may at any time of determination be installed on such Airframe or installed on any other airframe and (ii) collectively, all such Aircraft, in each case, as financed pursuant to this Agreement.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Airframe</w:t>
      </w:r>
      <w:r>
        <w:rPr>
          <w:color w:val="000000"/>
        </w:rPr>
        <w:t xml:space="preserve">” </w:t>
      </w:r>
      <w:r>
        <w:rPr>
          <w:rFonts w:ascii="Times New Roman;sans-serif" w:hAnsi="Times New Roman;sans-serif"/>
          <w:b w:val="false"/>
          <w:color w:val="000000"/>
          <w:sz w:val="24"/>
        </w:rPr>
        <w:t>means (a) each aircraft (including, in each case, the winglets installed thereon, but excluding Engines or engines from time to time installed thereon) manufactured by Airframe Manufacturer and identified by Airframe Manufacturer’s model number and Airframe Manufacturer’s serial number set forth on Schedule 1 and any Replacement Airframe and (b) any and all related Parts. Upon substitution of a Replacement Airframe under and in accordance with the Mortgage, such Replacement Airframe shall become subject to the Mortgage and shall be an “Airframe” for all purposes of this Agreement and the other Operative Documents and thereupon the Airframe for which the substitution is made shall no longer be subject to the Mortgage, and such replaced Airframe shall cease to be an “Airframe.”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Airframe Manufacturer</w:t>
      </w:r>
      <w:r>
        <w:rPr>
          <w:color w:val="000000"/>
        </w:rPr>
        <w:t xml:space="preserve">” </w:t>
      </w:r>
      <w:r>
        <w:rPr>
          <w:rFonts w:ascii="Times New Roman;sans-serif" w:hAnsi="Times New Roman;sans-serif"/>
          <w:b w:val="false"/>
          <w:color w:val="000000"/>
          <w:sz w:val="24"/>
        </w:rPr>
        <w:t>means The Boeing Company, a Delaware corporation.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Airframe Warranties Agreement</w:t>
      </w:r>
      <w:r>
        <w:rPr>
          <w:color w:val="000000"/>
        </w:rPr>
        <w:t xml:space="preserve">” </w:t>
      </w:r>
      <w:r>
        <w:rPr>
          <w:rFonts w:ascii="Times New Roman;sans-serif" w:hAnsi="Times New Roman;sans-serif"/>
          <w:b w:val="false"/>
          <w:color w:val="000000"/>
          <w:sz w:val="24"/>
        </w:rPr>
        <w:t xml:space="preserve">means, in respect of any Aircraft, the airframe warranties agreement entered into or to be entered into between, among others, the Company and the relevant Permitted Lessee in respect of the warranties relating to such Aircraft and consented to by the Airframe Manufacturer. </w:t>
      </w:r>
    </w:p>
    <w:p>
      <w:pPr>
        <w:pStyle w:val="TextBody"/>
        <w:spacing w:lineRule="auto" w:line="240" w:before="0" w:after="240"/>
        <w:ind w:left="0" w:right="0" w:firstLine="1440"/>
        <w:jc w:val="both"/>
        <w:rPr/>
      </w:pPr>
      <w:r>
        <w:rPr>
          <w:color w:val="000000"/>
        </w:rPr>
        <w:t>“</w:t>
      </w:r>
      <w:r>
        <w:rPr>
          <w:rFonts w:ascii="Times New Roman;sans-serif" w:hAnsi="Times New Roman;sans-serif"/>
          <w:b/>
          <w:color w:val="000000"/>
          <w:sz w:val="24"/>
          <w:u w:val="single"/>
        </w:rPr>
        <w:t>Anti-Corruption Laws</w:t>
      </w:r>
      <w:r>
        <w:rPr>
          <w:color w:val="000000"/>
        </w:rPr>
        <w:t xml:space="preserve">” </w:t>
      </w:r>
      <w:r>
        <w:rPr>
          <w:rFonts w:ascii="Times New Roman;sans-serif" w:hAnsi="Times New Roman;sans-serif"/>
          <w:b w:val="false"/>
          <w:color w:val="000000"/>
          <w:sz w:val="24"/>
        </w:rPr>
        <w:t>means the U.S. Foreign Corrupt Practices Act of 1977, as amended, the UK Bribery Act 2010, as amended, and any other anti-bribery or anti-corruption laws, regulations or ordinances enacted in any jurisdiction in which either the Company or the Guarantor is located or doing business, including laws or regulations enacted to implement the OECD Convention on Combatting Bribery of Foreign Public Officials in International Business Transactions.</w:t>
      </w:r>
    </w:p>
    <w:p>
      <w:pPr>
        <w:pStyle w:val="TextBody"/>
        <w:spacing w:lineRule="auto" w:line="240" w:before="0" w:after="240"/>
        <w:ind w:left="0" w:right="0" w:firstLine="1440"/>
        <w:jc w:val="both"/>
        <w:rPr/>
      </w:pPr>
      <w:r>
        <w:rPr>
          <w:color w:val="000000"/>
        </w:rPr>
        <w:t>“</w:t>
      </w:r>
      <w:r>
        <w:rPr>
          <w:rFonts w:ascii="Times New Roman;sans-serif" w:hAnsi="Times New Roman;sans-serif"/>
          <w:b/>
          <w:color w:val="000000"/>
          <w:sz w:val="24"/>
          <w:u w:val="single"/>
        </w:rPr>
        <w:t>Anti-Money Laundering Laws</w:t>
      </w:r>
      <w:r>
        <w:rPr>
          <w:color w:val="000000"/>
        </w:rPr>
        <w:t xml:space="preserve">” </w:t>
      </w:r>
      <w:r>
        <w:rPr>
          <w:rFonts w:ascii="Times New Roman;sans-serif" w:hAnsi="Times New Roman;sans-serif"/>
          <w:b w:val="false"/>
          <w:color w:val="000000"/>
          <w:sz w:val="24"/>
        </w:rPr>
        <w:t>means all applicable laws, rules and regulations relating to the prevention or prohibition of money laundering or terrorist financing, including, without limitation, the Bank Secrecy Act, the Patriot Act, and the Anti-Money Laundering Act of 2020, each as amended and any other similar laws, rules or regulations of other relevant Governmental Authorities which may be applicable to the Company and the Guarantor.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Applicable Lending Office</w:t>
      </w:r>
      <w:r>
        <w:rPr>
          <w:color w:val="000000"/>
        </w:rPr>
        <w:t xml:space="preserve">” </w:t>
      </w:r>
      <w:r>
        <w:rPr>
          <w:rFonts w:ascii="Times New Roman;sans-serif" w:hAnsi="Times New Roman;sans-serif"/>
          <w:b w:val="false"/>
          <w:color w:val="000000"/>
          <w:sz w:val="24"/>
        </w:rPr>
        <w:t>means, for each Lender, the “</w:t>
      </w:r>
      <w:r>
        <w:rPr>
          <w:rFonts w:ascii="Times New Roman;sans-serif" w:hAnsi="Times New Roman;sans-serif"/>
          <w:b/>
          <w:color w:val="000000"/>
          <w:sz w:val="24"/>
          <w:u w:val="single"/>
        </w:rPr>
        <w:t>Lending Office</w:t>
      </w:r>
      <w:r>
        <w:rPr>
          <w:color w:val="000000"/>
        </w:rPr>
        <w:t xml:space="preserve">” </w:t>
      </w:r>
      <w:r>
        <w:rPr>
          <w:rFonts w:ascii="Times New Roman;sans-serif" w:hAnsi="Times New Roman;sans-serif"/>
          <w:b w:val="false"/>
          <w:color w:val="000000"/>
          <w:sz w:val="24"/>
        </w:rPr>
        <w:t>of such Lender (or of an Affiliate of such Lender) specified by such Lender in writing to the Facility Agent or such other office of such Lender (or of an Affiliate of such Lender) as such Lender may from time to time specify in writing to the Facility Agent and the Company as the office by which its Loan is to be made and maintained.</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Applicable Margin</w:t>
      </w:r>
      <w:r>
        <w:rPr>
          <w:color w:val="000000"/>
        </w:rPr>
        <w:t xml:space="preserve">” </w:t>
      </w:r>
      <w:r>
        <w:rPr>
          <w:rFonts w:ascii="Times New Roman;sans-serif" w:hAnsi="Times New Roman;sans-serif"/>
          <w:b w:val="false"/>
          <w:color w:val="000000"/>
          <w:sz w:val="24"/>
        </w:rPr>
        <w:t xml:space="preserve">means, for the Loan in respect of an Aircraft, (a) prior to the date on which the EOL Requirements are satisfied in respect of such Aircraft, 3.75% per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8650"/>
                <wp:effectExtent l="0" t="0" r="0" b="0"/>
                <wp:wrapNone/>
                <wp:docPr id="64" name="Frame6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annum, and (b) on and from the date on which the EOL Requirements are satisfied in respect of such Aircraft, 3.25% per annum.</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Appraised Value</w:t>
      </w:r>
      <w:r>
        <w:rPr>
          <w:color w:val="000000"/>
        </w:rPr>
        <w:t xml:space="preserve">” </w:t>
      </w:r>
      <w:r>
        <w:rPr>
          <w:rFonts w:ascii="Times New Roman;sans-serif" w:hAnsi="Times New Roman;sans-serif"/>
          <w:b w:val="false"/>
          <w:color w:val="000000"/>
          <w:sz w:val="24"/>
        </w:rPr>
        <w:t xml:space="preserve">means, in respect of any Aircraft, the value of such Aircraft specified in a “desk-top” appraisal addressed to the Lenders and delivered to the Facility Agent in accordance with the terms of this Agreement by Ascend by Cirium for the half-life “current market value” (using Ascend by Cirium’s methodology) of such Aircraft and adjusted for such Aircraft’s then current maintenance status, maintenance condition and operational history;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at the time of such appraisal, an Engine installed on such Aircraft has operated more than 1,000 flight cycles in a harsh environment since its last qualified engine performance restoration, then the initial Lender, in consultation with the Company, shall adjust the Appraised Value of such Aircraft to reflect a reduction of 50% to the expected forward service life (time-on-wing) remaining of such Engine. For the avoidance of doubt, if an Engine installed to such Aircraft has operated less than 1,000 flight cycles since its last qualified engine performance restoration, then no adjustment shall apply to the relevant Appraised Value.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Assignment and Assumption</w:t>
      </w:r>
      <w:r>
        <w:rPr>
          <w:color w:val="000000"/>
        </w:rPr>
        <w:t xml:space="preserve">” </w:t>
      </w:r>
      <w:r>
        <w:rPr>
          <w:rFonts w:ascii="Times New Roman;sans-serif" w:hAnsi="Times New Roman;sans-serif"/>
          <w:b w:val="false"/>
          <w:color w:val="000000"/>
          <w:sz w:val="24"/>
        </w:rPr>
        <w:t>means an assignment and assumption entered into by a Lender and an Eligible Assignee (with the consent of any party whose consent is required by Section 13.04), and accepted by the Facility Agent, in substantially the form of Exhibit C or any other form approved by the Facility Agent and the Company.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Assignment of Insurances</w:t>
      </w:r>
      <w:r>
        <w:rPr>
          <w:color w:val="000000"/>
        </w:rPr>
        <w:t xml:space="preserve">” </w:t>
      </w:r>
      <w:r>
        <w:rPr>
          <w:rFonts w:ascii="Times New Roman;sans-serif" w:hAnsi="Times New Roman;sans-serif"/>
          <w:b w:val="false"/>
          <w:color w:val="000000"/>
          <w:sz w:val="24"/>
        </w:rPr>
        <w:t>means, in respect of any Aircraft, a deed of assignment entered into or to be entered into between the Company and the relevant Permitted Lessee in respect of the insurances relating to such Aircraft.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Assignment of Reinsurances</w:t>
      </w:r>
      <w:r>
        <w:rPr>
          <w:color w:val="000000"/>
        </w:rPr>
        <w:t xml:space="preserve">” </w:t>
      </w:r>
      <w:r>
        <w:rPr>
          <w:rFonts w:ascii="Times New Roman;sans-serif" w:hAnsi="Times New Roman;sans-serif"/>
          <w:b w:val="false"/>
          <w:color w:val="000000"/>
          <w:sz w:val="24"/>
        </w:rPr>
        <w:t xml:space="preserve">means, in respect of any Aircraft, a deed of assignment entered into or to be entered into between the Company and the insurer in respect of the reinsurances relating to such Aircraft.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Available Tenor</w:t>
      </w:r>
      <w:r>
        <w:rPr>
          <w:color w:val="000000"/>
        </w:rPr>
        <w:t xml:space="preserve">” </w:t>
      </w:r>
      <w:r>
        <w:rPr>
          <w:rFonts w:ascii="Times New Roman;sans-serif" w:hAnsi="Times New Roman;sans-serif"/>
          <w:b w:val="false"/>
          <w:color w:val="000000"/>
          <w:sz w:val="24"/>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5.07(d).</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Aviation Authority</w:t>
      </w:r>
      <w:r>
        <w:rPr>
          <w:color w:val="000000"/>
        </w:rPr>
        <w:t xml:space="preserve">” </w:t>
      </w:r>
      <w:r>
        <w:rPr>
          <w:rFonts w:ascii="Times New Roman;sans-serif" w:hAnsi="Times New Roman;sans-serif"/>
          <w:b w:val="false"/>
          <w:color w:val="000000"/>
          <w:sz w:val="24"/>
        </w:rPr>
        <w:t xml:space="preserve">means the FAA or, if any Aircraft is permitted to be, and is, registered with any other Governmental Authority under and in accordance with Section 3.02(e) of the Mortgage and Annex C thereof, such other Governmental Authority. The Aviation Authority on the Funding Date for a Loan shall be the Civil Aviation Authority of the Sultanate of Oman.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Bail-In Legislation</w:t>
      </w:r>
      <w:r>
        <w:rPr>
          <w:color w:val="000000"/>
        </w:rPr>
        <w:t xml:space="preserve">” </w:t>
      </w:r>
      <w:r>
        <w:rPr>
          <w:rFonts w:ascii="Times New Roman;sans-serif" w:hAnsi="Times New Roman;sans-serif"/>
          <w:b w:val="false"/>
          <w:color w:val="000000"/>
          <w:sz w:val="24"/>
        </w:rPr>
        <w:t xml:space="preserve">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8650"/>
                <wp:effectExtent l="0" t="0" r="0" b="0"/>
                <wp:wrapNone/>
                <wp:docPr id="65" name="Frame6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Bankruptcy Code</w:t>
      </w:r>
      <w:r>
        <w:rPr>
          <w:color w:val="000000"/>
        </w:rPr>
        <w:t xml:space="preserve">” </w:t>
      </w:r>
      <w:r>
        <w:rPr>
          <w:rFonts w:ascii="Times New Roman;sans-serif" w:hAnsi="Times New Roman;sans-serif"/>
          <w:b w:val="false"/>
          <w:color w:val="000000"/>
          <w:sz w:val="24"/>
        </w:rPr>
        <w:t xml:space="preserve">means the United States Bankruptcy Code, 11 U.S.C. Sections 101 </w:t>
      </w:r>
      <w:r>
        <w:rPr>
          <w:rFonts w:ascii="Times New Roman;sans-serif" w:hAnsi="Times New Roman;sans-serif"/>
          <w:b w:val="false"/>
          <w:i/>
          <w:color w:val="000000"/>
          <w:sz w:val="24"/>
        </w:rPr>
        <w:t>et seq</w:t>
      </w:r>
      <w:r>
        <w:rPr>
          <w:rFonts w:ascii="Times New Roman;sans-serif" w:hAnsi="Times New Roman;sans-serif"/>
          <w:b w:val="false"/>
          <w:color w:val="000000"/>
          <w:sz w:val="24"/>
        </w:rPr>
        <w: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Benchmark</w:t>
      </w:r>
      <w:r>
        <w:rPr>
          <w:color w:val="000000"/>
        </w:rPr>
        <w:t xml:space="preserve">” </w:t>
      </w:r>
      <w:r>
        <w:rPr>
          <w:rFonts w:ascii="Times New Roman;sans-serif" w:hAnsi="Times New Roman;sans-serif"/>
          <w:b w:val="false"/>
          <w:color w:val="000000"/>
          <w:sz w:val="24"/>
        </w:rPr>
        <w:t xml:space="preserve">means, initially, the Term SOFR Reference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5.07(a).</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Benchmark Replacement</w:t>
      </w:r>
      <w:r>
        <w:rPr>
          <w:color w:val="000000"/>
        </w:rPr>
        <w:t xml:space="preserve">” </w:t>
      </w:r>
      <w:r>
        <w:rPr>
          <w:rFonts w:ascii="Times New Roman;sans-serif" w:hAnsi="Times New Roman;sans-serif"/>
          <w:b w:val="false"/>
          <w:color w:val="000000"/>
          <w:sz w:val="24"/>
        </w:rPr>
        <w:t xml:space="preserve">means, with respect to any Benchmark Transition Event, the sum of: (a) the alternate benchmark rate that has been selected by the Facility Agent and the Company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Benchmark Replacement as so determined would be less than the Floor, such Benchmark Replacement will be deemed to be the Floor for the purposes of this Agreement and the other Loan Documents.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Facility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Benchmark Replacement Date</w:t>
      </w:r>
      <w:r>
        <w:rPr>
          <w:color w:val="000000"/>
        </w:rPr>
        <w:t xml:space="preserve">” </w:t>
      </w:r>
      <w:r>
        <w:rPr>
          <w:rFonts w:ascii="Times New Roman;sans-serif" w:hAnsi="Times New Roman;sans-serif"/>
          <w:b w:val="false"/>
          <w:color w:val="000000"/>
          <w:sz w:val="24"/>
        </w:rPr>
        <w:t>means the earliest to occur of the following events with respect to the then-current Benchmark:</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spacing w:lineRule="auto" w:line="240" w:before="0" w:after="240"/>
        <w:ind w:left="0" w:right="0" w:firstLine="720"/>
        <w:rPr/>
      </w:pPr>
      <w:r>
        <w:rPr>
          <w:rFonts w:ascii="Times New Roman;sans-serif" w:hAnsi="Times New Roman;sans-serif"/>
          <w:b w:val="false"/>
          <w:color w:val="000000"/>
          <w:sz w:val="24"/>
        </w:rPr>
        <w:t xml:space="preserve">(b)    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non-representativeness will be determined by reference to the most recent statement or publication referenced in such clause (c) and even if any Available Tenor of such Benchmark (or such component thereof) continues to be provided on such date.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8650"/>
                <wp:effectExtent l="0" t="0" r="0" b="0"/>
                <wp:wrapNone/>
                <wp:docPr id="66" name="Frame6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w:t>
      </w:r>
    </w:p>
    <w:p>
      <w:pPr>
        <w:pStyle w:val="TextBody"/>
        <w:spacing w:lineRule="auto" w:line="240" w:before="0" w:after="240"/>
        <w:ind w:left="0" w:right="0" w:firstLine="720"/>
        <w:rPr/>
      </w:pPr>
      <w:r>
        <w:rPr>
          <w:rFonts w:ascii="Times New Roman;sans-serif" w:hAnsi="Times New Roman;sans-serif"/>
          <w:b w:val="false"/>
          <w:color w:val="000000"/>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Benchmark Transition Start Date</w:t>
      </w:r>
      <w:r>
        <w:rPr>
          <w:color w:val="000000"/>
        </w:rPr>
        <w:t xml:space="preserve">” </w:t>
      </w:r>
      <w:r>
        <w:rPr>
          <w:rFonts w:ascii="Times New Roman;sans-serif" w:hAnsi="Times New Roman;sans-serif"/>
          <w:b w:val="false"/>
          <w:color w:val="000000"/>
          <w:sz w:val="24"/>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Benchmark Unavailability Period</w:t>
      </w:r>
      <w:r>
        <w:rPr>
          <w:color w:val="000000"/>
        </w:rPr>
        <w:t xml:space="preserve">” </w:t>
      </w:r>
      <w:r>
        <w:rPr>
          <w:rFonts w:ascii="Times New Roman;sans-serif" w:hAnsi="Times New Roman;sans-serif"/>
          <w:b w:val="false"/>
          <w:color w:val="000000"/>
          <w:sz w:val="24"/>
        </w:rPr>
        <w:t>means the period (if any) (a) beginning at the time that a Benchmark Replacement Date has occurred if, at such time, no Benchmark Replacement has replaced the then-current Benchmark for all purposes hereunder and under any Loan Document in accordance with Section 5.07 and (b) ending at the time that a Benchmark Replacement has replaced the then-current Benchmark for all purposes hereunder and under any Loan Document in accordance with Section 5.07.</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8650"/>
                <wp:effectExtent l="0" t="0" r="0" b="0"/>
                <wp:wrapNone/>
                <wp:docPr id="67" name="Frame6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Bills of Sale</w:t>
      </w:r>
      <w:r>
        <w:rPr>
          <w:color w:val="000000"/>
        </w:rPr>
        <w:t xml:space="preserve">” </w:t>
      </w:r>
      <w:r>
        <w:rPr>
          <w:rFonts w:ascii="Times New Roman;sans-serif" w:hAnsi="Times New Roman;sans-serif"/>
          <w:b w:val="false"/>
          <w:color w:val="000000"/>
          <w:sz w:val="24"/>
        </w:rPr>
        <w:t xml:space="preserve">means, with respect to any Aircraft, all back-to-birth bills of sale evidencing the chain of title for such Aircraft and the transfer of title to such Aircraft to the Company. </w:t>
      </w:r>
    </w:p>
    <w:p>
      <w:pPr>
        <w:pStyle w:val="TextBody"/>
        <w:spacing w:lineRule="auto" w:line="240" w:before="0" w:after="240"/>
        <w:ind w:left="0" w:right="0" w:firstLine="1440"/>
        <w:jc w:val="both"/>
        <w:rPr/>
      </w:pPr>
      <w:r>
        <w:rPr>
          <w:color w:val="000000"/>
        </w:rPr>
        <w:t>“</w:t>
      </w:r>
      <w:r>
        <w:rPr>
          <w:rFonts w:ascii="Times New Roman;sans-serif" w:hAnsi="Times New Roman;sans-serif"/>
          <w:b/>
          <w:color w:val="000000"/>
          <w:sz w:val="24"/>
          <w:u w:val="single"/>
        </w:rPr>
        <w:t>Blocking Regulation</w:t>
      </w:r>
      <w:r>
        <w:rPr>
          <w:color w:val="000000"/>
        </w:rPr>
        <w:t xml:space="preserve">” </w:t>
      </w:r>
      <w:r>
        <w:rPr>
          <w:rFonts w:ascii="Times New Roman;sans-serif" w:hAnsi="Times New Roman;sans-serif"/>
          <w:b w:val="false"/>
          <w:color w:val="000000"/>
          <w:sz w:val="24"/>
        </w:rPr>
        <w:t xml:space="preserve">means (i) EU Regulation (EC) 2271/96 (including as such Regulation has been implemented or supplemented in any applicable EU member State’s national laws or regulations), (ii) section 7 of the German Foreign and Trade Payments Ordinance (außenwirtschaftsverordnung) or (iii) any other similar and applicable anti-boycott or blocking law, regulation or statute that is in force from time to time in the Federal Republic of Germany, the European Union and/or the United Kingdom.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Borrowing</w:t>
      </w:r>
      <w:r>
        <w:rPr>
          <w:color w:val="000000"/>
        </w:rPr>
        <w:t xml:space="preserve">” </w:t>
      </w:r>
      <w:r>
        <w:rPr>
          <w:rFonts w:ascii="Times New Roman;sans-serif" w:hAnsi="Times New Roman;sans-serif"/>
          <w:b w:val="false"/>
          <w:color w:val="000000"/>
          <w:sz w:val="24"/>
        </w:rPr>
        <w:t>means the borrowing by the Company of any or all of the Loans.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Breakage Costs</w:t>
      </w:r>
      <w:r>
        <w:rPr>
          <w:color w:val="000000"/>
        </w:rPr>
        <w:t xml:space="preserve">” </w:t>
      </w:r>
      <w:r>
        <w:rPr>
          <w:rFonts w:ascii="Times New Roman;sans-serif" w:hAnsi="Times New Roman;sans-serif"/>
          <w:b w:val="false"/>
          <w:color w:val="000000"/>
          <w:sz w:val="24"/>
        </w:rPr>
        <w:t>means, at any date of determination, the amount, if greater than zero, equal to the sum of any SOFR Breakage. If such sum is zero or a negative number, no Breakage Costs shall be payable.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Saturday, Sunday or other day on which commercial banks are authorized or required by law to close or are in fact closed in New York, New York.</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Cape Town Treaty</w:t>
      </w:r>
      <w:r>
        <w:rPr>
          <w:color w:val="000000"/>
        </w:rPr>
        <w:t xml:space="preserve">” </w:t>
      </w:r>
      <w:r>
        <w:rPr>
          <w:rFonts w:ascii="Times New Roman;sans-serif" w:hAnsi="Times New Roman;sans-serif"/>
          <w:b w:val="false"/>
          <w:color w:val="000000"/>
          <w:sz w:val="24"/>
        </w:rPr>
        <w:t>means the Cape Town Convention on International Interests in Mobile Equipment and the related Aircraft Equipment Protocol, as in effect in the United States and any other applicable jurisdiction.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Change in Law</w:t>
      </w:r>
      <w:r>
        <w:rPr>
          <w:color w:val="000000"/>
        </w:rPr>
        <w:t xml:space="preserve">” </w:t>
      </w:r>
      <w:r>
        <w:rPr>
          <w:rFonts w:ascii="Times New Roman;sans-serif" w:hAnsi="Times New Roman;sans-serif"/>
          <w:b w:val="false"/>
          <w:color w:val="000000"/>
          <w:sz w:val="24"/>
        </w:rPr>
        <w:t>means the occurrence, after the Effective Date, of any of the following: (a) the adoption or taking effect of any law, rule, regulation or treaty, (b) any change in any law, rule, regulation or treaty or in the administration, interpretation or application thereof by any Governmental Authority, (c) compliance by the relevant Lender with any request, guideline or directive (whether or not having the force of law) by any Governmental Authority, (d) the implementation of any risk-based capital guideline or other similar requirement issued by any government or governmental or supervisory authority implementing at the national level the proposals for risk-based capital framework described by the Basel Committee on Banking Regulations and Supervisory Practices commonly known as Basel II (to the extent any increased costs covered by Section 5.01(a) result from the implementation of Basel II after the Effective Date) and Basel III, as amended, modified and supplemented and in effect from time to time or any replacement thereof or (e) the implementation of any requirements of the Dodd-Frank Wall Street Reform and Consumer Protection Act.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Citizen of the United States</w:t>
      </w:r>
      <w:r>
        <w:rPr>
          <w:color w:val="000000"/>
        </w:rPr>
        <w:t xml:space="preserve">” </w:t>
      </w:r>
      <w:r>
        <w:rPr>
          <w:rFonts w:ascii="Times New Roman;sans-serif" w:hAnsi="Times New Roman;sans-serif"/>
          <w:b w:val="false"/>
          <w:color w:val="000000"/>
          <w:sz w:val="24"/>
        </w:rPr>
        <w:t>is defined in 49 U.S.C. § 40102(a)(15).</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Code</w:t>
      </w:r>
      <w:r>
        <w:rPr>
          <w:color w:val="000000"/>
        </w:rPr>
        <w:t xml:space="preserve">” </w:t>
      </w:r>
      <w:r>
        <w:rPr>
          <w:rFonts w:ascii="Times New Roman;sans-serif" w:hAnsi="Times New Roman;sans-serif"/>
          <w:b w:val="false"/>
          <w:color w:val="000000"/>
          <w:sz w:val="24"/>
        </w:rPr>
        <w:t xml:space="preserve">means the Internal Revenue Code of 1986, as amended.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Collateral</w:t>
      </w:r>
      <w:r>
        <w:rPr>
          <w:color w:val="000000"/>
        </w:rPr>
        <w:t xml:space="preserve">” </w:t>
      </w:r>
      <w:r>
        <w:rPr>
          <w:rFonts w:ascii="Times New Roman;sans-serif" w:hAnsi="Times New Roman;sans-serif"/>
          <w:b w:val="false"/>
          <w:color w:val="000000"/>
          <w:sz w:val="24"/>
        </w:rPr>
        <w:t>means, collectively, each Aircraft and all other Property of the Company pursuant to which a security interest has been purported to be granted therein to the Security Trustee as provided in any Security Document.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Collections Account</w:t>
      </w:r>
      <w:r>
        <w:rPr>
          <w:color w:val="000000"/>
        </w:rPr>
        <w:t xml:space="preserve">” </w:t>
      </w:r>
      <w:r>
        <w:rPr>
          <w:rFonts w:ascii="Times New Roman;sans-serif" w:hAnsi="Times New Roman;sans-serif"/>
          <w:b w:val="false"/>
          <w:color w:val="000000"/>
          <w:sz w:val="24"/>
        </w:rPr>
        <w:t xml:space="preserve">means the deposit account of the Company at the Account Bank, ABA No. 101000695, Account No. 980006823, Account name: UMB Bank Trust Dept, Reference: Sun Country/MUFG Term Loan Facility; Collection Account.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Commitment</w:t>
      </w:r>
      <w:r>
        <w:rPr>
          <w:color w:val="000000"/>
        </w:rPr>
        <w:t xml:space="preserve">” </w:t>
      </w:r>
      <w:r>
        <w:rPr>
          <w:rFonts w:ascii="Times New Roman;sans-serif" w:hAnsi="Times New Roman;sans-serif"/>
          <w:b w:val="false"/>
          <w:color w:val="000000"/>
          <w:sz w:val="24"/>
        </w:rPr>
        <w:t xml:space="preserve">means, as to each Lender, the obligation of such Lender to make, on and subject to the terms and conditions hereof, a Loan to the Company pursuant to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8650"/>
                <wp:effectExtent l="0" t="0" r="0" b="0"/>
                <wp:wrapNone/>
                <wp:docPr id="68" name="Frame6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Section 2.01 in a principal amount up to but not exceeding the amount set forth opposite the name of such Lender on Annex 1, as such amount may be reduced pursuant to Section 2.04.</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Company</w:t>
      </w:r>
      <w:r>
        <w:rPr>
          <w:color w:val="000000"/>
        </w:rPr>
        <w:t xml:space="preserve">” </w:t>
      </w:r>
      <w:r>
        <w:rPr>
          <w:rFonts w:ascii="Times New Roman;sans-serif" w:hAnsi="Times New Roman;sans-serif"/>
          <w:b w:val="false"/>
          <w:color w:val="000000"/>
          <w:sz w:val="24"/>
        </w:rPr>
        <w:t>has the meaning set forth in the introduction hereto.</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Competitor</w:t>
      </w:r>
      <w:r>
        <w:rPr>
          <w:color w:val="000000"/>
        </w:rPr>
        <w:t xml:space="preserve">” </w:t>
      </w:r>
      <w:r>
        <w:rPr>
          <w:rFonts w:ascii="Times New Roman;sans-serif" w:hAnsi="Times New Roman;sans-serif"/>
          <w:b w:val="false"/>
          <w:color w:val="000000"/>
          <w:sz w:val="24"/>
        </w:rPr>
        <w:t>means an airline or other operator that owns and operates commercial aircraft assets or an Affiliate thereof if the business of owning and operating commercial aircraft assets is a principal line of business of such Affiliate.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Conforming Changes</w:t>
      </w:r>
      <w:r>
        <w:rPr>
          <w:color w:val="000000"/>
        </w:rPr>
        <w:t xml:space="preserve">” </w:t>
      </w:r>
      <w:r>
        <w:rPr>
          <w:rFonts w:ascii="Times New Roman;sans-serif" w:hAnsi="Times New Roman;sans-serif"/>
          <w:b w:val="false"/>
          <w:color w:val="000000"/>
          <w:sz w:val="24"/>
        </w:rPr>
        <w:t>means, with respect to either the use or administration of Adjusted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5.04 and other technical, administrative or operational matters) that the Facility Agent decides may be appropriate to reflect the adoption and implementation of any such rate or to permit the use and administration thereof by the Facility Agent in a manner substantially consistent with market practice (or, if the Facility Agent decides that adoption of any portion of such market practice is not administratively feasible or if the Facility Agent determines that no market practice for the administration of any such rate exists, in such other manner of administration as the Facility Agent decides is reasonably necessary in connection with the administration of this Agreement and the other Loan Documents).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Consent and Agreement</w:t>
      </w:r>
      <w:r>
        <w:rPr>
          <w:color w:val="000000"/>
        </w:rPr>
        <w:t xml:space="preserve">” </w:t>
      </w:r>
      <w:r>
        <w:rPr>
          <w:rFonts w:ascii="Times New Roman;sans-serif" w:hAnsi="Times New Roman;sans-serif"/>
          <w:b w:val="false"/>
          <w:color w:val="000000"/>
          <w:sz w:val="24"/>
        </w:rPr>
        <w:t>means, with respect to each Aircraft, an Airframe Manufacturer Consent and Agreement in form and substance reasonably satisfactory to the Security Trustee.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CRAF</w:t>
      </w:r>
      <w:r>
        <w:rPr>
          <w:color w:val="000000"/>
        </w:rPr>
        <w:t xml:space="preserve">” </w:t>
      </w:r>
      <w:r>
        <w:rPr>
          <w:rFonts w:ascii="Times New Roman;sans-serif" w:hAnsi="Times New Roman;sans-serif"/>
          <w:b w:val="false"/>
          <w:color w:val="000000"/>
          <w:sz w:val="24"/>
        </w:rPr>
        <w:t>means the Civil Reserve Air Fleet Program established pursuant to 10 U.S.C. Section 9511-13 or any similar substitute program.</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Credit Spread Adjustment</w:t>
      </w:r>
      <w:r>
        <w:rPr>
          <w:color w:val="000000"/>
        </w:rPr>
        <w:t xml:space="preserve">” </w:t>
      </w:r>
      <w:r>
        <w:rPr>
          <w:rFonts w:ascii="Times New Roman;sans-serif" w:hAnsi="Times New Roman;sans-serif"/>
          <w:b w:val="false"/>
          <w:color w:val="000000"/>
          <w:sz w:val="24"/>
        </w:rPr>
        <w:t>means 0.10% per annum.</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Default</w:t>
      </w:r>
      <w:r>
        <w:rPr>
          <w:color w:val="000000"/>
        </w:rPr>
        <w:t xml:space="preserve">” </w:t>
      </w:r>
      <w:r>
        <w:rPr>
          <w:rFonts w:ascii="Times New Roman;sans-serif" w:hAnsi="Times New Roman;sans-serif"/>
          <w:b w:val="false"/>
          <w:color w:val="000000"/>
          <w:sz w:val="24"/>
        </w:rPr>
        <w:t>means an event that with the giving of notice or lapse of time or both would become an Event of Default.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Deregistration Document</w:t>
      </w:r>
      <w:r>
        <w:rPr>
          <w:color w:val="000000"/>
        </w:rPr>
        <w:t xml:space="preserve">” </w:t>
      </w:r>
      <w:r>
        <w:rPr>
          <w:rFonts w:ascii="Times New Roman;sans-serif" w:hAnsi="Times New Roman;sans-serif"/>
          <w:b w:val="false"/>
          <w:color w:val="000000"/>
          <w:sz w:val="24"/>
        </w:rPr>
        <w:t xml:space="preserve">means, in respect of any Aircraft subject to a Permitted Lease and/or that is not registered in the United States, a deregistration power of attorney and/or irrevocable deregistration and export request authorization, as the context may require, from the relevant Permitted Lessee or the Company, as applicable, in favor of the Security Trustee.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Disposition</w:t>
      </w:r>
      <w:r>
        <w:rPr>
          <w:color w:val="000000"/>
        </w:rPr>
        <w:t xml:space="preserve">” </w:t>
      </w:r>
      <w:r>
        <w:rPr>
          <w:rFonts w:ascii="Times New Roman;sans-serif" w:hAnsi="Times New Roman;sans-serif"/>
          <w:b w:val="false"/>
          <w:color w:val="000000"/>
          <w:sz w:val="24"/>
        </w:rPr>
        <w:t xml:space="preserve">means, with respect to any Aircraft, (a) any sale, assignment, transfer or other voluntary disposition of such Aircraft or (b) the sale, assignment, transfer or other voluntary disposition of any of the beneficial interest or ownership that the Company has in such Aircraft;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“Disposition” shall not include any of the transactions contemplated by Section 3.02(b) of the Mortgage.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Dollars,</w:t>
      </w:r>
      <w:r>
        <w:rPr>
          <w:color w:val="000000"/>
        </w:rPr>
        <w:t>” “</w:t>
      </w:r>
      <w:r>
        <w:rPr>
          <w:rFonts w:ascii="Times New Roman;sans-serif" w:hAnsi="Times New Roman;sans-serif"/>
          <w:b/>
          <w:color w:val="000000"/>
          <w:sz w:val="24"/>
          <w:u w:val="single"/>
        </w:rPr>
        <w:t>United States Dollars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u w:val="single"/>
        </w:rPr>
        <w:t>$</w:t>
      </w:r>
      <w:r>
        <w:rPr>
          <w:color w:val="000000"/>
        </w:rPr>
        <w:t xml:space="preserve">” </w:t>
      </w:r>
      <w:r>
        <w:rPr>
          <w:rFonts w:ascii="Times New Roman;sans-serif" w:hAnsi="Times New Roman;sans-serif"/>
          <w:b w:val="false"/>
          <w:color w:val="000000"/>
          <w:sz w:val="24"/>
        </w:rPr>
        <w:t>mean lawful money for the time being of the United States of America</w:t>
      </w:r>
      <w:r>
        <w:rPr>
          <w:rFonts w:ascii="Times New Roman;sans-serif" w:hAnsi="Times New Roman;sans-serif"/>
          <w:b/>
          <w:color w:val="000000"/>
          <w:sz w:val="24"/>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8650"/>
                <wp:effectExtent l="0" t="0" r="0" b="0"/>
                <wp:wrapNone/>
                <wp:docPr id="69" name="Frame6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EEA Financial Institution</w:t>
      </w:r>
      <w:r>
        <w:rPr>
          <w:color w:val="000000"/>
        </w:rPr>
        <w:t xml:space="preserve">” </w:t>
      </w:r>
      <w:r>
        <w:rPr>
          <w:rFonts w:ascii="Times New Roman;sans-serif" w:hAnsi="Times New Roman;sans-serif"/>
          <w:b w:val="false"/>
          <w:color w:val="000000"/>
          <w:sz w:val="24"/>
        </w:rPr>
        <w:t>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EEA Member Country</w:t>
      </w:r>
      <w:r>
        <w:rPr>
          <w:color w:val="000000"/>
        </w:rPr>
        <w:t xml:space="preserve">” </w:t>
      </w:r>
      <w:r>
        <w:rPr>
          <w:rFonts w:ascii="Times New Roman;sans-serif" w:hAnsi="Times New Roman;sans-serif"/>
          <w:b w:val="false"/>
          <w:color w:val="000000"/>
          <w:sz w:val="24"/>
        </w:rPr>
        <w:t>means any of the member states of the European Union, Iceland, Liechtenstein, and Norway.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Effective Date</w:t>
      </w:r>
      <w:r>
        <w:rPr>
          <w:color w:val="000000"/>
        </w:rPr>
        <w:t xml:space="preserve">” </w:t>
      </w:r>
      <w:r>
        <w:rPr>
          <w:rFonts w:ascii="Times New Roman;sans-serif" w:hAnsi="Times New Roman;sans-serif"/>
          <w:b w:val="false"/>
          <w:color w:val="000000"/>
          <w:sz w:val="24"/>
        </w:rPr>
        <w:t xml:space="preserve">means the date on which the conditions specified in Section 6.01 shall be satisfied.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Eligible Assignee</w:t>
      </w:r>
      <w:r>
        <w:rPr>
          <w:color w:val="000000"/>
        </w:rPr>
        <w:t xml:space="preserve">” </w:t>
      </w:r>
      <w:r>
        <w:rPr>
          <w:rFonts w:ascii="Times New Roman;sans-serif" w:hAnsi="Times New Roman;sans-serif"/>
          <w:b w:val="false"/>
          <w:color w:val="000000"/>
          <w:sz w:val="24"/>
        </w:rPr>
        <w:t xml:space="preserve">means (a) a Lender, (b) an Affiliate of a Lender, (c) any other commercial bank, investment bank, investment fund, asset fund (to the extent directly or indirectly managed by a Lender (or an Affiliate thereof)) or other entity engaged in the business of extending credit in loan transactions (excluding any hedge funds or private equity funds) and (d) any member of the European System of Central Banks or of any Federal Reserve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term “Eligible Assignee” shall not include the Company or any Affiliate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 Competitor shall be deemed to be an Eligible Assignee.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Engine</w:t>
      </w:r>
      <w:r>
        <w:rPr>
          <w:color w:val="000000"/>
        </w:rPr>
        <w:t xml:space="preserve">” </w:t>
      </w:r>
      <w:r>
        <w:rPr>
          <w:rFonts w:ascii="Times New Roman;sans-serif" w:hAnsi="Times New Roman;sans-serif"/>
          <w:b w:val="false"/>
          <w:color w:val="000000"/>
          <w:sz w:val="24"/>
        </w:rPr>
        <w:t>means, with respect to any Airframe (a) each of the engines manufactured by Engine Manufacturer and identified by Engine Manufacturer’s model number in the initial Mortgage Supplement and Engine Manufacturer’s serial number set forth on Schedule 1 and any Replacement Engine, in any case whether or not from time to time installed on such Airframe or installed on any other airframe or aircraft, and (b) any and all related Parts. Upon substitution of a Replacement Engine under and in accordance with the Mortgage, such Replacement Engine shall become subject to this Agreement and shall be an “Engine” for all purposes of the Mortgage and the other Operative Documents and thereupon the Engine for which the substitution is made shall no longer be subject to this Agreement and the Mortgage, and such replaced Engine shall cease to be an “Engine.”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Engine Consent and Agreement</w:t>
      </w:r>
      <w:r>
        <w:rPr>
          <w:color w:val="000000"/>
        </w:rPr>
        <w:t xml:space="preserve">” </w:t>
      </w:r>
      <w:r>
        <w:rPr>
          <w:rFonts w:ascii="Times New Roman;sans-serif" w:hAnsi="Times New Roman;sans-serif"/>
          <w:b w:val="false"/>
          <w:color w:val="000000"/>
          <w:sz w:val="24"/>
        </w:rPr>
        <w:t>means, with respect to an Aircraft, an Engine Manufacturer Consent and Agreement in form and substance reasonably satisfactory to the Security Trustee.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Engine Manufacturer</w:t>
      </w:r>
      <w:r>
        <w:rPr>
          <w:color w:val="000000"/>
        </w:rPr>
        <w:t xml:space="preserve">” </w:t>
      </w:r>
      <w:r>
        <w:rPr>
          <w:rFonts w:ascii="Times New Roman;sans-serif" w:hAnsi="Times New Roman;sans-serif"/>
          <w:b w:val="false"/>
          <w:color w:val="000000"/>
          <w:sz w:val="24"/>
        </w:rPr>
        <w:t xml:space="preserve">means CFM International, S.A., a French </w:t>
      </w:r>
      <w:r>
        <w:rPr>
          <w:rFonts w:ascii="Times New Roman;sans-serif" w:hAnsi="Times New Roman;sans-serif"/>
          <w:b w:val="false"/>
          <w:i/>
          <w:color w:val="000000"/>
          <w:sz w:val="24"/>
        </w:rPr>
        <w:t>société anonyme</w:t>
      </w:r>
      <w:r>
        <w:rPr>
          <w:rFonts w:ascii="Times New Roman;sans-serif" w:hAnsi="Times New Roman;sans-serif"/>
          <w:b w:val="false"/>
          <w:color w:val="000000"/>
          <w:sz w:val="24"/>
        </w:rPr>
        <w: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Engine Warranties Agreement</w:t>
      </w:r>
      <w:r>
        <w:rPr>
          <w:color w:val="000000"/>
        </w:rPr>
        <w:t xml:space="preserve">” </w:t>
      </w:r>
      <w:r>
        <w:rPr>
          <w:rFonts w:ascii="Times New Roman;sans-serif" w:hAnsi="Times New Roman;sans-serif"/>
          <w:b w:val="false"/>
          <w:color w:val="000000"/>
          <w:sz w:val="24"/>
        </w:rPr>
        <w:t xml:space="preserve">means, in respect of an Aircraft, the engine warranty assignment agreement entered into or to be entered into between the Company and the relevant Permitted Lessee in respect of the warranties relating to the relevant Engines and consented to by the Engine Manufacturer pursuant to an Engine Consent and Agreement.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EOL Compensation</w:t>
      </w:r>
      <w:r>
        <w:rPr>
          <w:color w:val="000000"/>
        </w:rPr>
        <w:t xml:space="preserve">” </w:t>
      </w:r>
      <w:r>
        <w:rPr>
          <w:rFonts w:ascii="Times New Roman;sans-serif" w:hAnsi="Times New Roman;sans-serif"/>
          <w:b w:val="false"/>
          <w:color w:val="000000"/>
          <w:sz w:val="24"/>
        </w:rPr>
        <w:t xml:space="preserve">means any payments under a Permitted Lease made by or on behalf of the relevant Permitted Lessee in connection with the return of the applicable Aircraft or relating to the termination or expiration of such Permitted Lease.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EOL Requirements</w:t>
      </w:r>
      <w:r>
        <w:rPr>
          <w:color w:val="000000"/>
        </w:rPr>
        <w:t xml:space="preserve">” </w:t>
      </w:r>
      <w:r>
        <w:rPr>
          <w:rFonts w:ascii="Times New Roman;sans-serif" w:hAnsi="Times New Roman;sans-serif"/>
          <w:b w:val="false"/>
          <w:color w:val="000000"/>
          <w:sz w:val="24"/>
        </w:rPr>
        <w:t xml:space="preserve">means, in respect of an Aircraft, (a) no Default or Event of Default has occurred and is continuing under the Loan Documents, (b) payment under Section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8650"/>
                <wp:effectExtent l="0" t="0" r="0" b="0"/>
                <wp:wrapNone/>
                <wp:docPr id="70" name="Frame6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3.03(b)(iii) in respect of the relevant LTV Prepayment Event has been made in respect of such Aircraft, and (c) the Aircraft has been reregistered in the United States in accordance with Section 3.02(e) of the Mortgage.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 and the regulations promulgated thereunder.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Escrow Account</w:t>
      </w:r>
      <w:r>
        <w:rPr>
          <w:color w:val="000000"/>
        </w:rPr>
        <w:t xml:space="preserve">” </w:t>
      </w:r>
      <w:r>
        <w:rPr>
          <w:rFonts w:ascii="Times New Roman;sans-serif" w:hAnsi="Times New Roman;sans-serif"/>
          <w:b w:val="false"/>
          <w:color w:val="000000"/>
          <w:sz w:val="24"/>
        </w:rPr>
        <w:t xml:space="preserve">means the “Escrow Account” as specified and defined in the Escrow Agreement.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Escrow Agreement</w:t>
      </w:r>
      <w:r>
        <w:rPr>
          <w:color w:val="000000"/>
        </w:rPr>
        <w:t xml:space="preserve">” </w:t>
      </w:r>
      <w:r>
        <w:rPr>
          <w:rFonts w:ascii="Times New Roman;sans-serif" w:hAnsi="Times New Roman;sans-serif"/>
          <w:b w:val="false"/>
          <w:color w:val="000000"/>
          <w:sz w:val="24"/>
        </w:rPr>
        <w:t xml:space="preserve">means that certain escrow agreement dated _________, 2023 among the Company, as buyer, each of APF 4 Projekt Nr. 6A GmbH, APF 4 Projekt Nr. 6B GmbH, APF 4 Projekt Nr. 6C GmbH, APF 4 Projekt Nr. 6D GmbH and APF 4 Projekt Nr. 6E GmbH, as sellers, the Facility Agent and UMB Bank, N.A., as escrow agent.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EU Bail-In Legislation Schedule</w:t>
      </w:r>
      <w:r>
        <w:rPr>
          <w:color w:val="000000"/>
        </w:rPr>
        <w:t xml:space="preserv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European System of Central Banks</w:t>
      </w:r>
      <w:r>
        <w:rPr>
          <w:color w:val="000000"/>
        </w:rPr>
        <w:t xml:space="preserve">” </w:t>
      </w:r>
      <w:r>
        <w:rPr>
          <w:rFonts w:ascii="Times New Roman;sans-serif" w:hAnsi="Times New Roman;sans-serif"/>
          <w:b w:val="false"/>
          <w:color w:val="000000"/>
          <w:sz w:val="24"/>
        </w:rPr>
        <w:t>means the group consisting of (i) the European Central Bank and (ii) each national Central Bank of all European Union member states.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Event of Default</w:t>
      </w:r>
      <w:r>
        <w:rPr>
          <w:color w:val="000000"/>
        </w:rPr>
        <w:t xml:space="preserve">” </w:t>
      </w:r>
      <w:r>
        <w:rPr>
          <w:rFonts w:ascii="Times New Roman;sans-serif" w:hAnsi="Times New Roman;sans-serif"/>
          <w:b w:val="false"/>
          <w:color w:val="000000"/>
          <w:sz w:val="24"/>
        </w:rPr>
        <w:t>has the meaning set forth in Section 9.</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Event of Loss</w:t>
      </w:r>
      <w:r>
        <w:rPr>
          <w:color w:val="000000"/>
        </w:rPr>
        <w:t xml:space="preserve">” </w:t>
      </w:r>
      <w:r>
        <w:rPr>
          <w:rFonts w:ascii="Times New Roman;sans-serif" w:hAnsi="Times New Roman;sans-serif"/>
          <w:b w:val="false"/>
          <w:color w:val="000000"/>
          <w:sz w:val="24"/>
        </w:rPr>
        <w:t>means, with respect to any Aircraft, Airframe or any Engine, (i) at any time such Aircraft, Airframe or Engine is subject to a Permitted Lease, the meaning ascribed to the term “Event of Loss” (or like term) in such Permitted Lease and (ii) at any time such Aircraft, Airframe or Engine is not subject to a Permitted Lease, any of the following circumstances, conditions or events with respect to such Property, for any reason whatsoever:</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(a)    the destruction of such Property, damage to such Property beyond economic repair or rendition of such Property permanently unfit for normal use by Company;</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(b)    the actual or constructive total loss of such Property or any damage to such Property, or requisition of title or use of such Property, which results in an insurance settlement with respect to such Property on the basis of a total loss or constructive or compromised total loss;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    any theft, hijacking or disappearance of such Property for a period of 180 consecutive days or more;</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(d)    any seizure, condemnation, confiscation, taking or requisition (including loss of title) of such Property by any Governmental Authority or purported Governmental Authority (other than a requisition of use by a Permitted Government Entity) for a period exceeding 12 consecutive months;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 xml:space="preserve">(e)    as a result of any law, rule, regulation, order or other action by the Aviation Authority or by any Governmental Authority of the government of registry of the Aircraft or by any Governmental Authority otherwise having jurisdiction over the operation or use of the Aircraft, the use of such Property in the normal course of the Company’s business of passenger air transportation is prohibited for a period of 18 consecutive months unless the Company, prior to the expiration of such 18-month period, shall have undertaken and shall be diligently carrying forward such steps as may be necessary or desirable to permit the normal use of such Property by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8650"/>
                <wp:effectExtent l="0" t="0" r="0" b="0"/>
                <wp:wrapNone/>
                <wp:docPr id="71" name="Frame7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Company, but in any event if such use shall have been prohibited for a period of three consecutive years; and</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(f)    any divestiture of title to an Engine treated as an Event of Loss pursuant to Section 3.02(b) of the Mortgage.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Excluded Taxes</w:t>
      </w:r>
      <w:r>
        <w:rPr>
          <w:color w:val="000000"/>
        </w:rPr>
        <w:t xml:space="preserve">” </w:t>
      </w:r>
      <w:r>
        <w:rPr>
          <w:rFonts w:ascii="Times New Roman;sans-serif" w:hAnsi="Times New Roman;sans-serif"/>
          <w:b w:val="false"/>
          <w:color w:val="000000"/>
          <w:sz w:val="24"/>
        </w:rPr>
        <w:t>means, with respect to any Agent, any Lender or any other recipient of any payment to be made by or on account of any obligation of Company or the Guarantor under the Loan Documents: (a) Taxes imposed on or measured by its overall net income, overall gross income or overall gross or net receipts (however denominated), net worth, excess profits, capital and franchise taxes imposed on it (in lieu of net income taxes) or capital taxes, by the jurisdiction (or any political subdivision thereof) under the laws of which such recipient is organized, in which it is resident for tax purposes or in which its principal office is located or, in the case of any Lender, in which its Applicable Lending Office is located or that are Other Connection Taxes; (b) any branch profits taxes imposed by the United States of America or any similar Tax imposed by any other jurisdiction in which Company or the Guarantor is located; (c) federal withholding taxes imposed by the United States of America, other than, in the case of a Tax Eligible Lender, United States withholding taxes (i) in the case of any Agent or any Lender that is a signatory under the caption “LENDERS” on the signature pages hereto, due to a Change in Law subsequent to the Effective Date and (ii) in the case of any other Agent or Lender, which are not in excess of that applicable to the assignor or transferor to such Agent or Lender or which are due to a Change in Law first officially announced, proposed or enacted subsequent to the effective date of the applicable Assignment and Assumption Agreement or the date such person otherwise first becomes a party to the Loan Documents or a recipient of payments thereunder; (d) Taxes imposed primarily as a result of the gross negligence or willful misconduct of such Agent, Lender or recipient of a payment under the Loan Documents as determined by a court of competent jurisdiction by a final and non-appealable judgment; and (e) US federal withholding Taxes imposed under FATCA.</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FAA</w:t>
      </w:r>
      <w:r>
        <w:rPr>
          <w:color w:val="000000"/>
        </w:rPr>
        <w:t xml:space="preserve">” </w:t>
      </w:r>
      <w:r>
        <w:rPr>
          <w:rFonts w:ascii="Times New Roman;sans-serif" w:hAnsi="Times New Roman;sans-serif"/>
          <w:b w:val="false"/>
          <w:color w:val="000000"/>
          <w:sz w:val="24"/>
        </w:rPr>
        <w:t>means the Federal Aviation Administration of the United States or any Governmental Authority succeeding to the functions of such Federal Aviation Administration.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FAA Regulations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u w:val="single"/>
        </w:rPr>
        <w:t>FAR</w:t>
      </w:r>
      <w:r>
        <w:rPr>
          <w:color w:val="000000"/>
        </w:rPr>
        <w:t xml:space="preserve">” </w:t>
      </w:r>
      <w:r>
        <w:rPr>
          <w:rFonts w:ascii="Times New Roman;sans-serif" w:hAnsi="Times New Roman;sans-serif"/>
          <w:b w:val="false"/>
          <w:color w:val="000000"/>
          <w:sz w:val="24"/>
        </w:rPr>
        <w:t>means the Federal Aviation Regulations issued or promulgated pursuant to the Act from time to time.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Facility Agent</w:t>
      </w:r>
      <w:r>
        <w:rPr>
          <w:color w:val="000000"/>
        </w:rPr>
        <w:t xml:space="preserve">” </w:t>
      </w:r>
      <w:r>
        <w:rPr>
          <w:rFonts w:ascii="Times New Roman;sans-serif" w:hAnsi="Times New Roman;sans-serif"/>
          <w:b w:val="false"/>
          <w:color w:val="000000"/>
          <w:sz w:val="24"/>
        </w:rPr>
        <w:t>has the meaning set forth in the introduction hereto.</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FATCA</w:t>
      </w:r>
      <w:r>
        <w:rPr>
          <w:color w:val="000000"/>
        </w:rPr>
        <w:t xml:space="preserve">” </w:t>
      </w:r>
      <w:r>
        <w:rPr>
          <w:rFonts w:ascii="Times New Roman;sans-serif" w:hAnsi="Times New Roman;sans-serif"/>
          <w:b w:val="false"/>
          <w:color w:val="000000"/>
          <w:sz w:val="24"/>
        </w:rPr>
        <w:t xml:space="preserve">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Federal Funds Rate</w:t>
      </w:r>
      <w:r>
        <w:rPr>
          <w:color w:val="000000"/>
        </w:rPr>
        <w:t xml:space="preserve">” </w:t>
      </w:r>
      <w:r>
        <w:rPr>
          <w:rFonts w:ascii="Times New Roman;sans-serif" w:hAnsi="Times New Roman;sans-serif"/>
          <w:b w:val="false"/>
          <w:color w:val="000000"/>
          <w:sz w:val="24"/>
        </w:rPr>
        <w:t>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the average (rounded upwards, if necessary, to the next 1/100 of 1%) of the quotations for such day for such transactions received by the Facility Agent from three Federal funds brokers of recognized standing selected by it.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8650"/>
                <wp:effectExtent l="0" t="0" r="0" b="0"/>
                <wp:wrapNone/>
                <wp:docPr id="72" name="Frame7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Federal Reserve Board</w:t>
      </w:r>
      <w:r>
        <w:rPr>
          <w:color w:val="000000"/>
        </w:rPr>
        <w:t xml:space="preserve">” </w:t>
      </w:r>
      <w:r>
        <w:rPr>
          <w:rFonts w:ascii="Times New Roman;sans-serif" w:hAnsi="Times New Roman;sans-serif"/>
          <w:b w:val="false"/>
          <w:color w:val="000000"/>
          <w:sz w:val="24"/>
        </w:rPr>
        <w:t>means the Board of Governors of the Federal Reserve System of the United States.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Fee Letter</w:t>
      </w:r>
      <w:r>
        <w:rPr>
          <w:color w:val="000000"/>
        </w:rPr>
        <w:t xml:space="preserve">” </w:t>
      </w:r>
      <w:r>
        <w:rPr>
          <w:rFonts w:ascii="Times New Roman;sans-serif" w:hAnsi="Times New Roman;sans-serif"/>
          <w:b w:val="false"/>
          <w:color w:val="000000"/>
          <w:sz w:val="24"/>
        </w:rPr>
        <w:t>means the letter agreement dated March 16, 2023, between the Company and MUFG Bank, Ltd., relating to the loan facility provided herein.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Final Maturity Date</w:t>
      </w:r>
      <w:r>
        <w:rPr>
          <w:color w:val="000000"/>
        </w:rPr>
        <w:t xml:space="preserve">” </w:t>
      </w:r>
      <w:r>
        <w:rPr>
          <w:rFonts w:ascii="Times New Roman;sans-serif" w:hAnsi="Times New Roman;sans-serif"/>
          <w:b w:val="false"/>
          <w:color w:val="000000"/>
          <w:sz w:val="24"/>
        </w:rPr>
        <w:t>means the 84-month anniversary of the date of this Agreement.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Financing Statements</w:t>
      </w:r>
      <w:r>
        <w:rPr>
          <w:color w:val="000000"/>
        </w:rPr>
        <w:t xml:space="preserve">” </w:t>
      </w:r>
      <w:r>
        <w:rPr>
          <w:rFonts w:ascii="Times New Roman;sans-serif" w:hAnsi="Times New Roman;sans-serif"/>
          <w:b w:val="false"/>
          <w:color w:val="000000"/>
          <w:sz w:val="24"/>
        </w:rPr>
        <w:t>means, collectively, UCC-1 (and, where appropriate, UCC-3) financing statements covering the Collateral, by the Company, as debtor, showing the Security Trustee as secured party, for filing in Minnesota and each other jurisdiction that, in the opinion of the Security Trustee, is necessary to perfect its Lien on the Collateral.</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Floor</w:t>
      </w:r>
      <w:r>
        <w:rPr>
          <w:color w:val="000000"/>
        </w:rPr>
        <w:t xml:space="preserve">” </w:t>
      </w:r>
      <w:r>
        <w:rPr>
          <w:rFonts w:ascii="Times New Roman;sans-serif" w:hAnsi="Times New Roman;sans-serif"/>
          <w:b w:val="false"/>
          <w:color w:val="000000"/>
          <w:sz w:val="24"/>
        </w:rPr>
        <w:t>means a rate of interest equal to 0.00%.</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Funding Date</w:t>
      </w:r>
      <w:r>
        <w:rPr>
          <w:color w:val="000000"/>
        </w:rPr>
        <w:t xml:space="preserve">” </w:t>
      </w:r>
      <w:r>
        <w:rPr>
          <w:rFonts w:ascii="Times New Roman;sans-serif" w:hAnsi="Times New Roman;sans-serif"/>
          <w:b w:val="false"/>
          <w:color w:val="000000"/>
          <w:sz w:val="24"/>
        </w:rPr>
        <w:t>means, in respect of an Aircraft, the date on which the Loan in respect of such Aircraft is funded.</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GAAP</w:t>
      </w:r>
      <w:r>
        <w:rPr>
          <w:color w:val="000000"/>
        </w:rPr>
        <w:t xml:space="preserve">” </w:t>
      </w:r>
      <w:r>
        <w:rPr>
          <w:rFonts w:ascii="Times New Roman;sans-serif" w:hAnsi="Times New Roman;sans-serif"/>
          <w:b w:val="false"/>
          <w:color w:val="000000"/>
          <w:sz w:val="24"/>
        </w:rPr>
        <w:t>means generally accepted accounting principles in the United States in effect from time to time.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Governmental Authority</w:t>
      </w:r>
      <w:r>
        <w:rPr>
          <w:color w:val="000000"/>
        </w:rPr>
        <w:t xml:space="preserve">” </w:t>
      </w:r>
      <w:r>
        <w:rPr>
          <w:rFonts w:ascii="Times New Roman;sans-serif" w:hAnsi="Times New Roman;sans-serif"/>
          <w:b w:val="false"/>
          <w:color w:val="000000"/>
          <w:sz w:val="24"/>
        </w:rPr>
        <w:t xml:space="preserve">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In respect of the Initial Permitted Lease, the government of the Sultanate of Oman shall be a Governmental Authority.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Guaranteed Obligations</w:t>
      </w:r>
      <w:r>
        <w:rPr>
          <w:color w:val="000000"/>
        </w:rPr>
        <w:t xml:space="preserve">” </w:t>
      </w:r>
      <w:r>
        <w:rPr>
          <w:rFonts w:ascii="Times New Roman;sans-serif" w:hAnsi="Times New Roman;sans-serif"/>
          <w:b w:val="false"/>
          <w:color w:val="000000"/>
          <w:sz w:val="24"/>
        </w:rPr>
        <w:t xml:space="preserve">has the meaning set forth in Section 10.01.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Guarantor</w:t>
      </w:r>
      <w:r>
        <w:rPr>
          <w:color w:val="000000"/>
        </w:rPr>
        <w:t xml:space="preserve">” </w:t>
      </w:r>
      <w:r>
        <w:rPr>
          <w:rFonts w:ascii="Times New Roman;sans-serif" w:hAnsi="Times New Roman;sans-serif"/>
          <w:b w:val="false"/>
          <w:color w:val="000000"/>
          <w:sz w:val="24"/>
        </w:rPr>
        <w:t xml:space="preserve">has the meaning set forth in the introduction hereto.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Illegality Event</w:t>
      </w:r>
      <w:r>
        <w:rPr>
          <w:color w:val="000000"/>
        </w:rPr>
        <w:t xml:space="preserve">” </w:t>
      </w:r>
      <w:r>
        <w:rPr>
          <w:rFonts w:ascii="Times New Roman;sans-serif" w:hAnsi="Times New Roman;sans-serif"/>
          <w:b w:val="false"/>
          <w:color w:val="000000"/>
          <w:sz w:val="24"/>
        </w:rPr>
        <w:t xml:space="preserve">has the meaning set forth in Section 5.03.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Indemnified Taxes</w:t>
      </w:r>
      <w:r>
        <w:rPr>
          <w:color w:val="000000"/>
        </w:rPr>
        <w:t xml:space="preserve">” </w:t>
      </w:r>
      <w:r>
        <w:rPr>
          <w:rFonts w:ascii="Times New Roman;sans-serif" w:hAnsi="Times New Roman;sans-serif"/>
          <w:b w:val="false"/>
          <w:color w:val="000000"/>
          <w:sz w:val="24"/>
        </w:rPr>
        <w:t xml:space="preserve">means Taxes, other than Excluded Taxes, imposed on or with respect to any payment made by or on account of any obligation of the Company or the Guarantor under any Loan Documents, including without limitation Other Taxes.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Initial Permitted Lease</w:t>
      </w:r>
      <w:r>
        <w:rPr>
          <w:color w:val="000000"/>
        </w:rPr>
        <w:t xml:space="preserve">” </w:t>
      </w:r>
      <w:r>
        <w:rPr>
          <w:rFonts w:ascii="Times New Roman;sans-serif" w:hAnsi="Times New Roman;sans-serif"/>
          <w:b w:val="false"/>
          <w:color w:val="000000"/>
          <w:sz w:val="24"/>
        </w:rPr>
        <w:t xml:space="preserve">means, for each Aircraft, the aircraft operating lease agreement (as novated and amended) in respect of such Aircraft by the Company, as lessor, to the Initial Permitted Lessee, as lessee, as specified in Schedule 2.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Initial Permitted Lessee</w:t>
      </w:r>
      <w:r>
        <w:rPr>
          <w:color w:val="000000"/>
        </w:rPr>
        <w:t xml:space="preserve">” </w:t>
      </w:r>
      <w:r>
        <w:rPr>
          <w:rFonts w:ascii="Times New Roman;sans-serif" w:hAnsi="Times New Roman;sans-serif"/>
          <w:b w:val="false"/>
          <w:color w:val="000000"/>
          <w:sz w:val="24"/>
        </w:rPr>
        <w:t xml:space="preserve">means Oman Air SAOC, a company incorporated under the laws of the Sultanate of Oman whose head office is at PO Box 58, PC111 Muscat International Airport, Muscat, Sultanate of Oman.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Interest Period</w:t>
      </w:r>
      <w:r>
        <w:rPr>
          <w:color w:val="000000"/>
        </w:rPr>
        <w:t xml:space="preserve">” </w:t>
      </w:r>
      <w:r>
        <w:rPr>
          <w:rFonts w:ascii="Times New Roman;sans-serif" w:hAnsi="Times New Roman;sans-serif"/>
          <w:b w:val="false"/>
          <w:color w:val="000000"/>
          <w:sz w:val="24"/>
        </w:rPr>
        <w:t xml:space="preserve">means the period commencing on the first Funding Date and ending on the date one month thereafter and thereafter each period commencing on the last day of the preceding Interest Period and ending on the date one month thereafter,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 the interest period for the Loan allocable to each Aircraft other than the first Aircraft shall commence on the Funding Date therefor and shall end on the last day of the then scheduled Interest Period; (b) any Interest Period that would otherwise end on a day that is not a Business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8650"/>
                <wp:effectExtent l="0" t="0" r="0" b="0"/>
                <wp:wrapNone/>
                <wp:docPr id="73" name="Frame7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Day shall end on the next succeeding Business Day unless such succeeding Business Day would fall in the next month, in which case such Interest Period shall end on the immediately preceding Business Day, (c) during any period while an Event of Default has occurred and is continuing, the term “Interest Period” shall include any period selected by the Facility Agent from time to time (and advised to the Company), and (d) if a Market Disruption Event has occurred, the term “Interest Period” applicable to a Loan held by a Market Disruption Affected Lender shall mean the period commencing on the last day of the preceding Interest Period and ending on the date one week or one month thereafter (as the Company may elect by written notice to the Facility Agent on or prior to the commencement of such Interest Period) or, in the absence of any such notice from the Company of its election, ending on the date one month thereafter;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after the Facility Agent notifies the Company and the Market Disruption Affected Lenders that the circumstances giving rise to a Market Disruption Notice no longer exist, the period shall be the remainder of the period ending on the Payment Date thereafter (or any series of periods of one month ultimately ending on such Payment Date as may be selected by the Company and notified to the Facility Agent).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International Interest</w:t>
      </w:r>
      <w:r>
        <w:rPr>
          <w:color w:val="000000"/>
        </w:rPr>
        <w:t xml:space="preserve">” </w:t>
      </w:r>
      <w:r>
        <w:rPr>
          <w:rFonts w:ascii="Times New Roman;sans-serif" w:hAnsi="Times New Roman;sans-serif"/>
          <w:b w:val="false"/>
          <w:color w:val="000000"/>
          <w:sz w:val="24"/>
        </w:rPr>
        <w:t>has the meaning attributed to “international interest” in the Cape Town Treaty, which “international interest” may have first been filed with the International Registry as a Prospective International Interest.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International Registry</w:t>
      </w:r>
      <w:r>
        <w:rPr>
          <w:color w:val="000000"/>
        </w:rPr>
        <w:t xml:space="preserve">” </w:t>
      </w:r>
      <w:r>
        <w:rPr>
          <w:rFonts w:ascii="Times New Roman;sans-serif" w:hAnsi="Times New Roman;sans-serif"/>
          <w:b w:val="false"/>
          <w:color w:val="000000"/>
          <w:sz w:val="24"/>
        </w:rPr>
        <w:t>has the meaning attributed to “international registry” in the Cape Town Treaty.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Law</w:t>
      </w:r>
      <w:r>
        <w:rPr>
          <w:color w:val="000000"/>
        </w:rPr>
        <w:t xml:space="preserve">” </w:t>
      </w:r>
      <w:r>
        <w:rPr>
          <w:rFonts w:ascii="Times New Roman;sans-serif" w:hAnsi="Times New Roman;sans-serif"/>
          <w:b w:val="false"/>
          <w:color w:val="000000"/>
          <w:sz w:val="24"/>
        </w:rPr>
        <w:t>means (a) any constitution, treaty, statute, law, decree, regulation, order, rule or directive of any Governmental Authority, and (b) any judicial or administrative interpretation or application of, or decision under, any of the foregoing.</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LC Holdback Amount</w:t>
      </w:r>
      <w:r>
        <w:rPr>
          <w:color w:val="000000"/>
        </w:rPr>
        <w:t xml:space="preserve">” </w:t>
      </w:r>
      <w:r>
        <w:rPr>
          <w:rFonts w:ascii="Times New Roman;sans-serif" w:hAnsi="Times New Roman;sans-serif"/>
          <w:b w:val="false"/>
          <w:color w:val="000000"/>
          <w:sz w:val="24"/>
        </w:rPr>
        <w:t>has the meaning set forth in Section 8.11.</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Lease Documents</w:t>
      </w:r>
      <w:r>
        <w:rPr>
          <w:color w:val="000000"/>
        </w:rPr>
        <w:t xml:space="preserve">” </w:t>
      </w:r>
      <w:r>
        <w:rPr>
          <w:rFonts w:ascii="Times New Roman;sans-serif" w:hAnsi="Times New Roman;sans-serif"/>
          <w:b w:val="false"/>
          <w:color w:val="000000"/>
          <w:sz w:val="24"/>
        </w:rPr>
        <w:t xml:space="preserve">means (i) in respect of each Initial Permitted Lease, the “Lease Documents” (or like term) in respect of such Initial Permitted Lease, as specified on Schedule 2 and (ii) in respect of any other Permitted Lease, the “Transaction Documents”, “Operative Documents”, “Lease Documents” or other like term in respect of such Permitted Lease, as specified in the Mortgage Supplement related to such Permitted Lease.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Lease Event of Default</w:t>
      </w:r>
      <w:r>
        <w:rPr>
          <w:color w:val="000000"/>
        </w:rPr>
        <w:t xml:space="preserve">” </w:t>
      </w:r>
      <w:r>
        <w:rPr>
          <w:rFonts w:ascii="Times New Roman;sans-serif" w:hAnsi="Times New Roman;sans-serif"/>
          <w:b w:val="false"/>
          <w:color w:val="000000"/>
          <w:sz w:val="24"/>
        </w:rPr>
        <w:t xml:space="preserve">means an “Event of Default” (or like term) as defined under a Permitted Lease.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Lenders</w:t>
      </w:r>
      <w:r>
        <w:rPr>
          <w:color w:val="000000"/>
        </w:rPr>
        <w:t xml:space="preserve">” </w:t>
      </w:r>
      <w:r>
        <w:rPr>
          <w:rFonts w:ascii="Times New Roman;sans-serif" w:hAnsi="Times New Roman;sans-serif"/>
          <w:b w:val="false"/>
          <w:color w:val="000000"/>
          <w:sz w:val="24"/>
        </w:rPr>
        <w:t>has the meaning set forth in the introduction hereto.</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Lessee Consent</w:t>
      </w:r>
      <w:r>
        <w:rPr>
          <w:color w:val="000000"/>
        </w:rPr>
        <w:t xml:space="preserve">” </w:t>
      </w:r>
      <w:r>
        <w:rPr>
          <w:rFonts w:ascii="Times New Roman;sans-serif" w:hAnsi="Times New Roman;sans-serif"/>
          <w:b w:val="false"/>
          <w:color w:val="000000"/>
          <w:sz w:val="24"/>
        </w:rPr>
        <w:t xml:space="preserve">means, with respect to any Permitted Lease, a consent and agreement in respect of the collateral assignment of such Permitted Lease pursuant to the Mortgage among the Company, the Security Trustee and the relevant Permitted Lessee, in form and substance reasonably acceptable to the Facility Agent.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Letter of Credit</w:t>
      </w:r>
      <w:r>
        <w:rPr>
          <w:color w:val="000000"/>
        </w:rPr>
        <w:t xml:space="preserve">” </w:t>
      </w:r>
      <w:r>
        <w:rPr>
          <w:rFonts w:ascii="Times New Roman;sans-serif" w:hAnsi="Times New Roman;sans-serif"/>
          <w:b w:val="false"/>
          <w:color w:val="000000"/>
          <w:sz w:val="24"/>
        </w:rPr>
        <w:t>has the meaning set forth in Section 8.10.</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Lien</w:t>
      </w:r>
      <w:r>
        <w:rPr>
          <w:color w:val="000000"/>
        </w:rPr>
        <w:t xml:space="preserve">” </w:t>
      </w:r>
      <w:r>
        <w:rPr>
          <w:rFonts w:ascii="Times New Roman;sans-serif" w:hAnsi="Times New Roman;sans-serif"/>
          <w:b w:val="false"/>
          <w:color w:val="000000"/>
          <w:sz w:val="24"/>
        </w:rPr>
        <w:t>means any mortgage, lien, pledge, charge, encumbrance or other security interest or any preferential arrangement that has the practical effect of creating a security interest.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Loan</w:t>
      </w:r>
      <w:r>
        <w:rPr>
          <w:color w:val="000000"/>
        </w:rPr>
        <w:t xml:space="preserve">” </w:t>
      </w:r>
      <w:r>
        <w:rPr>
          <w:rFonts w:ascii="Times New Roman;sans-serif" w:hAnsi="Times New Roman;sans-serif"/>
          <w:b w:val="false"/>
          <w:color w:val="000000"/>
          <w:sz w:val="24"/>
        </w:rPr>
        <w:t>has the meaning set forth in Section 2.01.</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8650"/>
                <wp:effectExtent l="0" t="0" r="0" b="0"/>
                <wp:wrapNone/>
                <wp:docPr id="74" name="Frame7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Loan Documents</w:t>
      </w:r>
      <w:r>
        <w:rPr>
          <w:color w:val="000000"/>
        </w:rPr>
        <w:t xml:space="preserve">” </w:t>
      </w:r>
      <w:r>
        <w:rPr>
          <w:rFonts w:ascii="Times New Roman;sans-serif" w:hAnsi="Times New Roman;sans-serif"/>
          <w:b w:val="false"/>
          <w:color w:val="000000"/>
          <w:sz w:val="24"/>
        </w:rPr>
        <w:t>means, collectively, this Agreement, any Notes, the Security Documents, the Servicer Consent, the Escrow Agreement, any Lessee Consent, the Agent Fee Letter and the Fee Letter.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Local Law Mortgage</w:t>
      </w:r>
      <w:r>
        <w:rPr>
          <w:color w:val="000000"/>
        </w:rPr>
        <w:t xml:space="preserve">” </w:t>
      </w:r>
      <w:r>
        <w:rPr>
          <w:rFonts w:ascii="Times New Roman;sans-serif" w:hAnsi="Times New Roman;sans-serif"/>
          <w:b w:val="false"/>
          <w:color w:val="000000"/>
          <w:sz w:val="24"/>
        </w:rPr>
        <w:t xml:space="preserve">means, in respect of an Aircraft that is subject to a Permitted Lease (other than each Initial Permitted Lease), any mortgage (other than a New York law governed mortgage) in respect of such Aircraft executed and delivered by the Company governed by the law of the relevant State of Registration of such Aircraft in the form recommended by the relevant local counsel in such State of Registration, and otherwise in form and substance reasonably satisfactory to the Facility Agent, in order to convey a first priority and perfected mortgage lien on such Aircraft.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Local Mortgage Filing</w:t>
      </w:r>
      <w:r>
        <w:rPr>
          <w:color w:val="000000"/>
        </w:rPr>
        <w:t xml:space="preserve">” </w:t>
      </w:r>
      <w:r>
        <w:rPr>
          <w:rFonts w:ascii="Times New Roman;sans-serif" w:hAnsi="Times New Roman;sans-serif"/>
          <w:b w:val="false"/>
          <w:color w:val="000000"/>
          <w:sz w:val="24"/>
        </w:rPr>
        <w:t xml:space="preserve">means the filing of a Local Law Mortgage or of the Mortgage in respect of an Aircraft in the appropriate filing office in the relevant State of Registration so as to perfect the Security Trustee’s Lien thereon.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LTV Prepayment Event</w:t>
      </w:r>
      <w:r>
        <w:rPr>
          <w:color w:val="000000"/>
        </w:rPr>
        <w:t xml:space="preserve">” </w:t>
      </w:r>
      <w:r>
        <w:rPr>
          <w:rFonts w:ascii="Times New Roman;sans-serif" w:hAnsi="Times New Roman;sans-serif"/>
          <w:b w:val="false"/>
          <w:color w:val="000000"/>
          <w:sz w:val="24"/>
        </w:rPr>
        <w:t xml:space="preserve">means, in respect of an Aircraft, (i) the occurrence of either (a) a Lease Event of Default under the Initial Permitted Lease for such Aircraft that is continuing for 180 consecutive days or (b) the expiration or early termination of the Initial Permitted Lease for such Aircraft and (ii) the LTV Ratio in respect of the Loan related to such Aircraft exceeds the LTV Threshold on the date that the Lease Event of Default has been continuing for 180 consecutive days or the date of expiration or early termination of the Initial Permitted Lease.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LTV Ratio</w:t>
      </w:r>
      <w:r>
        <w:rPr>
          <w:color w:val="000000"/>
        </w:rPr>
        <w:t xml:space="preserve">” </w:t>
      </w:r>
      <w:r>
        <w:rPr>
          <w:rFonts w:ascii="Times New Roman;sans-serif" w:hAnsi="Times New Roman;sans-serif"/>
          <w:b w:val="false"/>
          <w:color w:val="000000"/>
          <w:sz w:val="24"/>
        </w:rPr>
        <w:t>means, as of any relevant date of determination and in respect of a Loan in respect of an Aircraft, the ratio (expressed as a percentage) of (x) the outstanding principal amount of such Loan to (y) the Appraised Value of such Aircraft (which Appraised Value shall have been determined in an appraisal not more than 60 days prior to such date of determination).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LTV Threshold</w:t>
      </w:r>
      <w:r>
        <w:rPr>
          <w:color w:val="000000"/>
        </w:rPr>
        <w:t xml:space="preserve">” </w:t>
      </w:r>
      <w:r>
        <w:rPr>
          <w:rFonts w:ascii="Times New Roman;sans-serif" w:hAnsi="Times New Roman;sans-serif"/>
          <w:b w:val="false"/>
          <w:color w:val="000000"/>
          <w:sz w:val="24"/>
        </w:rPr>
        <w:t xml:space="preserve">means 75%.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Maintenance Reserves</w:t>
      </w:r>
      <w:r>
        <w:rPr>
          <w:color w:val="000000"/>
        </w:rPr>
        <w:t xml:space="preserve">” </w:t>
      </w:r>
      <w:r>
        <w:rPr>
          <w:rFonts w:ascii="Times New Roman;sans-serif" w:hAnsi="Times New Roman;sans-serif"/>
          <w:b w:val="false"/>
          <w:color w:val="000000"/>
          <w:sz w:val="24"/>
        </w:rPr>
        <w:t>means, with respect to any Permitted Lease pursuant to which such payments are required to be made, any amounts paid by the applicable Permitted Lessee to or for account of the Company, as lessor, pursuant to the terms of such Permitted Lease to cover the maintenance, repair or similar payments and expenses for the related Aircraft.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Majority Lenders</w:t>
      </w:r>
      <w:r>
        <w:rPr>
          <w:color w:val="000000"/>
        </w:rPr>
        <w:t xml:space="preserve">” </w:t>
      </w:r>
      <w:r>
        <w:rPr>
          <w:rFonts w:ascii="Times New Roman;sans-serif" w:hAnsi="Times New Roman;sans-serif"/>
          <w:b w:val="false"/>
          <w:color w:val="000000"/>
          <w:sz w:val="24"/>
        </w:rPr>
        <w:t>means, at any time, Lenders holding more than 50% of the aggregate outstanding principal amount of the Loans or, if no Loans are outstanding, Lenders having more than 50% of the aggregate amount of the Commitments as most recently in effect.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Market Disruption Affected Lender</w:t>
      </w:r>
      <w:r>
        <w:rPr>
          <w:color w:val="000000"/>
        </w:rPr>
        <w:t xml:space="preserve">” </w:t>
      </w:r>
      <w:r>
        <w:rPr>
          <w:rFonts w:ascii="Times New Roman;sans-serif" w:hAnsi="Times New Roman;sans-serif"/>
          <w:b w:val="false"/>
          <w:color w:val="000000"/>
          <w:sz w:val="24"/>
        </w:rPr>
        <w:t>means (a) all Lenders in the case of a Market Disruption Event described in Section 5.02(a), and (b) each Lender giving notice to the Facility Agent certifying the matters in Sections 5.02(b)(i) through (iv), in the case of a Market Disruption Event described in Section 5.02(b).</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Market Disruption Event</w:t>
      </w:r>
      <w:r>
        <w:rPr>
          <w:color w:val="000000"/>
        </w:rPr>
        <w:t xml:space="preserve">” </w:t>
      </w:r>
      <w:r>
        <w:rPr>
          <w:rFonts w:ascii="Times New Roman;sans-serif" w:hAnsi="Times New Roman;sans-serif"/>
          <w:b w:val="false"/>
          <w:color w:val="000000"/>
          <w:sz w:val="24"/>
        </w:rPr>
        <w:t>means any event described in Section 5.02(a) or (b).</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Market Disruption Notice</w:t>
      </w:r>
      <w:r>
        <w:rPr>
          <w:color w:val="000000"/>
        </w:rPr>
        <w:t xml:space="preserve">” </w:t>
      </w:r>
      <w:r>
        <w:rPr>
          <w:rFonts w:ascii="Times New Roman;sans-serif" w:hAnsi="Times New Roman;sans-serif"/>
          <w:b w:val="false"/>
          <w:color w:val="000000"/>
          <w:sz w:val="24"/>
        </w:rPr>
        <w:t>has the meaning set forth in Section 5.02.</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Mortgage</w:t>
      </w:r>
      <w:r>
        <w:rPr>
          <w:color w:val="000000"/>
        </w:rPr>
        <w:t xml:space="preserve">” </w:t>
      </w:r>
      <w:r>
        <w:rPr>
          <w:rFonts w:ascii="Times New Roman;sans-serif" w:hAnsi="Times New Roman;sans-serif"/>
          <w:b w:val="false"/>
          <w:color w:val="000000"/>
          <w:sz w:val="24"/>
        </w:rPr>
        <w:t>means the Mortgage and Security Agreement in substantially the form of Exhibit B.</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8650"/>
                <wp:effectExtent l="0" t="0" r="0" b="0"/>
                <wp:wrapNone/>
                <wp:docPr id="75" name="Frame7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Mortgage Supplement</w:t>
      </w:r>
      <w:r>
        <w:rPr>
          <w:color w:val="000000"/>
        </w:rPr>
        <w:t xml:space="preserve">” </w:t>
      </w:r>
      <w:r>
        <w:rPr>
          <w:rFonts w:ascii="Times New Roman;sans-serif" w:hAnsi="Times New Roman;sans-serif"/>
          <w:b w:val="false"/>
          <w:color w:val="000000"/>
          <w:sz w:val="24"/>
        </w:rPr>
        <w:t>means any mortgage supplement, substantially in the form of Exhibit A to the Mortgage, with appropriate modifications to reflect the purpose for which it is being used.</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Note</w:t>
      </w:r>
      <w:r>
        <w:rPr>
          <w:color w:val="000000"/>
        </w:rPr>
        <w:t xml:space="preserve">” </w:t>
      </w:r>
      <w:r>
        <w:rPr>
          <w:rFonts w:ascii="Times New Roman;sans-serif" w:hAnsi="Times New Roman;sans-serif"/>
          <w:b w:val="false"/>
          <w:color w:val="000000"/>
          <w:sz w:val="24"/>
        </w:rPr>
        <w:t>means the Notes, if any, issued pursuant to Section 2.06.</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Notice of Borrowing</w:t>
      </w:r>
      <w:r>
        <w:rPr>
          <w:color w:val="000000"/>
        </w:rPr>
        <w:t xml:space="preserve">” </w:t>
      </w:r>
      <w:r>
        <w:rPr>
          <w:rFonts w:ascii="Times New Roman;sans-serif" w:hAnsi="Times New Roman;sans-serif"/>
          <w:b w:val="false"/>
          <w:color w:val="000000"/>
          <w:sz w:val="24"/>
        </w:rPr>
        <w:t>has the meaning set forth in Section 2.02.</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Obligations</w:t>
      </w:r>
      <w:r>
        <w:rPr>
          <w:color w:val="000000"/>
        </w:rPr>
        <w:t xml:space="preserve">” </w:t>
      </w:r>
      <w:r>
        <w:rPr>
          <w:rFonts w:ascii="Times New Roman;sans-serif" w:hAnsi="Times New Roman;sans-serif"/>
          <w:b w:val="false"/>
          <w:color w:val="000000"/>
          <w:sz w:val="24"/>
        </w:rPr>
        <w:t>means all liabilities and obligations of every nature of the Company and the Guarantor from time to time owed to the Agents (including former Agents), the Lenders or any of them, under any Operative Document, whether for principal, interest (including interest which, but for the filing of a petition in bankruptcy with respect to Company and/or the Guarantor, would have accrued on any Obligation, whether or not a claim is allowed against the Company or the Guarantor, as the case may be, for such interest in the related bankruptcy proceeding), fees, expenses, indemnification or otherwise and whether primary, secondary, direct, indirect, contingent, fixed or otherwise (including obligations of performance).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OFAC</w:t>
      </w:r>
      <w:r>
        <w:rPr>
          <w:color w:val="000000"/>
        </w:rPr>
        <w:t xml:space="preserve">” </w:t>
      </w:r>
      <w:r>
        <w:rPr>
          <w:rFonts w:ascii="Times New Roman;sans-serif" w:hAnsi="Times New Roman;sans-serif"/>
          <w:b w:val="false"/>
          <w:color w:val="000000"/>
          <w:sz w:val="24"/>
        </w:rPr>
        <w:t>means the Office of Foreign Assets Control of the U.S. Department of Treasury.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Operative Documents</w:t>
      </w:r>
      <w:r>
        <w:rPr>
          <w:color w:val="000000"/>
        </w:rPr>
        <w:t xml:space="preserve">” </w:t>
      </w:r>
      <w:r>
        <w:rPr>
          <w:rFonts w:ascii="Times New Roman;sans-serif" w:hAnsi="Times New Roman;sans-serif"/>
          <w:b w:val="false"/>
          <w:color w:val="000000"/>
          <w:sz w:val="24"/>
        </w:rPr>
        <w:t xml:space="preserve">means, collectively, the Loan Documents, any Lease Documents, the Servicing Agreement and any other document, agreement, notice, acknowledgment, instrument, deed, letter, amendment or certificate that may from time to time be agreed in writing by the Company and the Facility Agent (acting at the instructions of the Majority Lenders) to be an “Operative Document”.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Other Connection Taxes</w:t>
      </w:r>
      <w:r>
        <w:rPr>
          <w:color w:val="000000"/>
        </w:rPr>
        <w:t xml:space="preserve">” </w:t>
      </w:r>
      <w:r>
        <w:rPr>
          <w:rFonts w:ascii="Times New Roman;sans-serif" w:hAnsi="Times New Roman;sans-serif"/>
          <w:b w:val="false"/>
          <w:color w:val="000000"/>
          <w:sz w:val="24"/>
        </w:rPr>
        <w:t>means, with respect to the Facility Agent, any Lender or any other recipient of any payment to be made by or on account of any obligation of the Company or the Guarantor hereunder or under any other Loan Document, Taxes imposed as a result of a present or former connection between such recipient and the jurisdiction imposing such Tax (other than connections arising the execution, delivery, becoming a party to, performing its obligations under, receiving payments under, receiving or perfecting a security interest under or engaging in any other transaction pursuant to or enforcing any Loan Document).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Other Taxes</w:t>
      </w:r>
      <w:r>
        <w:rPr>
          <w:color w:val="000000"/>
        </w:rPr>
        <w:t xml:space="preserve">” </w:t>
      </w:r>
      <w:r>
        <w:rPr>
          <w:rFonts w:ascii="Times New Roman;sans-serif" w:hAnsi="Times New Roman;sans-serif"/>
          <w:b w:val="false"/>
          <w:color w:val="000000"/>
          <w:sz w:val="24"/>
        </w:rPr>
        <w:t>means all present or future stamp or documentary Taxes or any other excise or property Taxes, charges or similar levies arising from any payment made under any Loan Document or from the execution, delivery or enforcement of, or otherwise with respect to, any Loan Document, other than Excluded Taxes imposed by reason of an assignment (other than an assignment made pursuant to Section 5.06).</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Participant</w:t>
      </w:r>
      <w:r>
        <w:rPr>
          <w:color w:val="000000"/>
        </w:rPr>
        <w:t xml:space="preserve">” </w:t>
      </w:r>
      <w:r>
        <w:rPr>
          <w:rFonts w:ascii="Times New Roman;sans-serif" w:hAnsi="Times New Roman;sans-serif"/>
          <w:b w:val="false"/>
          <w:color w:val="000000"/>
          <w:sz w:val="24"/>
        </w:rPr>
        <w:t>has the meaning set forth in Section 13.04(d).</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Participant Register</w:t>
      </w:r>
      <w:r>
        <w:rPr>
          <w:color w:val="000000"/>
        </w:rPr>
        <w:t xml:space="preserve">” </w:t>
      </w:r>
      <w:r>
        <w:rPr>
          <w:rFonts w:ascii="Times New Roman;sans-serif" w:hAnsi="Times New Roman;sans-serif"/>
          <w:b w:val="false"/>
          <w:color w:val="000000"/>
          <w:sz w:val="24"/>
        </w:rPr>
        <w:t xml:space="preserve">has the meaning set forth in Section 13.04(d).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Parts</w:t>
      </w:r>
      <w:r>
        <w:rPr>
          <w:color w:val="000000"/>
        </w:rPr>
        <w:t xml:space="preserve">” </w:t>
      </w:r>
      <w:r>
        <w:rPr>
          <w:rFonts w:ascii="Times New Roman;sans-serif" w:hAnsi="Times New Roman;sans-serif"/>
          <w:b w:val="false"/>
          <w:color w:val="000000"/>
          <w:sz w:val="24"/>
        </w:rPr>
        <w:t>means all appliances, parts, components, instruments, appurtenances, accessories, furnishings, seats and other equipment of whatever nature (other than (a) Engines or engines, and (b) any Removable Part that constitutes passenger convenience equipment or is otherwise leased by Company from a third party or subject to a security interest granted to a third party), that may from time to time be installed or incorporated in or attached or appurtenant to any Airframe or any Engine or removed therefrom unless the Lien of the Mortgage shall not be applicable to such Parts in accordance with Section 3.04 of the Mortgage.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Past Due Rate</w:t>
      </w:r>
      <w:r>
        <w:rPr>
          <w:color w:val="000000"/>
        </w:rPr>
        <w:t xml:space="preserve">” </w:t>
      </w:r>
      <w:r>
        <w:rPr>
          <w:rFonts w:ascii="Times New Roman;sans-serif" w:hAnsi="Times New Roman;sans-serif"/>
          <w:b w:val="false"/>
          <w:color w:val="000000"/>
          <w:sz w:val="24"/>
        </w:rPr>
        <w:t xml:space="preserve">means, in the case of any principal of or, to the extent permitted by law, interest on any Loan that is not paid when due, or any other amount that is not paid when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8650"/>
                <wp:effectExtent l="0" t="0" r="0" b="0"/>
                <wp:wrapNone/>
                <wp:docPr id="76" name="Frame7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due, a rate per annum which is equal to the sum of 2.00% per annum plus Adjusted Term SOFR plus the Applicable Margin.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Patriot Act</w:t>
      </w:r>
      <w:r>
        <w:rPr>
          <w:color w:val="000000"/>
        </w:rPr>
        <w:t xml:space="preserve">” </w:t>
      </w:r>
      <w:r>
        <w:rPr>
          <w:rFonts w:ascii="Times New Roman;sans-serif" w:hAnsi="Times New Roman;sans-serif"/>
          <w:b w:val="false"/>
          <w:color w:val="000000"/>
          <w:sz w:val="24"/>
        </w:rPr>
        <w:t xml:space="preserve">means, Title III of the Uniting and Strengthening America by Providing Appropriate Tools Required to Intercept and Obstruct Terrorism (USA PATRIOT) Act of 2001 (Pub. L. 107-56), as amended.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Payment Date</w:t>
      </w:r>
      <w:r>
        <w:rPr>
          <w:color w:val="000000"/>
        </w:rPr>
        <w:t xml:space="preserve">” </w:t>
      </w:r>
      <w:r>
        <w:rPr>
          <w:rFonts w:ascii="Times New Roman;sans-serif" w:hAnsi="Times New Roman;sans-serif"/>
          <w:b w:val="false"/>
          <w:color w:val="000000"/>
          <w:sz w:val="24"/>
        </w:rPr>
        <w:t>means the last day of each Interest Period.</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Periodic Term SOFR Determination Day</w:t>
      </w:r>
      <w:r>
        <w:rPr>
          <w:color w:val="000000"/>
        </w:rPr>
        <w:t xml:space="preserve">” </w:t>
      </w:r>
      <w:r>
        <w:rPr>
          <w:rFonts w:ascii="Times New Roman;sans-serif" w:hAnsi="Times New Roman;sans-serif"/>
          <w:b w:val="false"/>
          <w:color w:val="000000"/>
          <w:sz w:val="24"/>
        </w:rPr>
        <w:t>has the meaning specified in the definition of “Term SOFR”.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Permitted Air Carrier</w:t>
      </w:r>
      <w:r>
        <w:rPr>
          <w:color w:val="000000"/>
        </w:rPr>
        <w:t xml:space="preserve">” </w:t>
      </w:r>
      <w:r>
        <w:rPr>
          <w:rFonts w:ascii="Times New Roman;sans-serif" w:hAnsi="Times New Roman;sans-serif"/>
          <w:b w:val="false"/>
          <w:color w:val="000000"/>
          <w:sz w:val="24"/>
        </w:rPr>
        <w:t>means (a) any manufacturer of airframes or aircraft engines, or any Affiliate of a manufacturer of airframes or aircraft engines, (b) any Permitted Foreign Air Carrier, (c) any person approved in writing by the Facility Agent or (d) any U.S. Certificated Air Carrier.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Permitted Foreign Air Carrier</w:t>
      </w:r>
      <w:r>
        <w:rPr>
          <w:color w:val="000000"/>
        </w:rPr>
        <w:t xml:space="preserve">” </w:t>
      </w:r>
      <w:r>
        <w:rPr>
          <w:rFonts w:ascii="Times New Roman;sans-serif" w:hAnsi="Times New Roman;sans-serif"/>
          <w:b w:val="false"/>
          <w:color w:val="000000"/>
          <w:sz w:val="24"/>
        </w:rPr>
        <w:t>means (i) Oman Air; (ii) any air carrier holding an air carrier operating certificate issued under the applicable Laws of any member state of the European Union; and (iii) any air carrier approved in writing by the Facility Agent, acting at the direction of the Majority Lenders.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Permitted Government Entity</w:t>
      </w:r>
      <w:r>
        <w:rPr>
          <w:color w:val="000000"/>
        </w:rPr>
        <w:t xml:space="preserve">” </w:t>
      </w:r>
      <w:r>
        <w:rPr>
          <w:rFonts w:ascii="Times New Roman;sans-serif" w:hAnsi="Times New Roman;sans-serif"/>
          <w:b w:val="false"/>
          <w:color w:val="000000"/>
          <w:sz w:val="24"/>
        </w:rPr>
        <w:t>means (a) the U.S. Government, (b) to the extent that an Aircraft is registered in Oman, the government of the Sultanate of Oman and (c) any other Governmental Authority if the Aircraft is then registered under the laws of the country of such Governmental Authority.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Permitted Lease</w:t>
      </w:r>
      <w:r>
        <w:rPr>
          <w:color w:val="000000"/>
        </w:rPr>
        <w:t xml:space="preserve">” </w:t>
      </w:r>
      <w:r>
        <w:rPr>
          <w:rFonts w:ascii="Times New Roman;sans-serif" w:hAnsi="Times New Roman;sans-serif"/>
          <w:b w:val="false"/>
          <w:color w:val="000000"/>
          <w:sz w:val="24"/>
        </w:rPr>
        <w:t xml:space="preserve">means (a) each Initial Permitted Lease and (b) each lease (including a sublease) permitted under Section 3.02(b)(ii) of the Mortgage.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Permitted Lessee</w:t>
      </w:r>
      <w:r>
        <w:rPr>
          <w:color w:val="000000"/>
        </w:rPr>
        <w:t xml:space="preserve">” </w:t>
      </w:r>
      <w:r>
        <w:rPr>
          <w:rFonts w:ascii="Times New Roman;sans-serif" w:hAnsi="Times New Roman;sans-serif"/>
          <w:b w:val="false"/>
          <w:color w:val="000000"/>
          <w:sz w:val="24"/>
        </w:rPr>
        <w:t>means a lessee under a Permitted Lease.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Permitted Liens</w:t>
      </w:r>
      <w:r>
        <w:rPr>
          <w:color w:val="000000"/>
        </w:rPr>
        <w:t xml:space="preserve">” </w:t>
      </w:r>
      <w:r>
        <w:rPr>
          <w:rFonts w:ascii="Times New Roman;sans-serif" w:hAnsi="Times New Roman;sans-serif"/>
          <w:b w:val="false"/>
          <w:color w:val="000000"/>
          <w:sz w:val="24"/>
        </w:rPr>
        <w:t xml:space="preserve">means, with respect to any Aircraft: (a) the rights of the Security Trustee under the Operative Documents or of any Permitted Lessee under any Permitted Lease; (b) Liens attributable to the Security Trustee; (c) the rights of others under agreements or arrangements to the extent expressly permitted by the terms of Sections 3.02(b) and 3.04 of the Mortgage; (d) Liens for Taxes of the Company (and its U.S. federal tax law consolidated group), either not yet delinquent or being contested in good faith by appropriate proceedings so long as such Liens and such proceedings do not involve any material risk of the sale, forfeiture or loss of such Aircraft, or its related Airframe or Engines or the interest of the Security Trustee therein or impair the Lien of the Mortgage; (e) materialmen’s, mechanics’, workers’, repairers’, employees’ or other like Liens arising in the ordinary course of business for amounts the payment of which is either not yet delinquent for more than 60 days or is being contested in good faith by appropriate proceedings, so long as such Liens and such proceedings do not involve any material risk of the sale, forfeiture or loss of such Aircraft, or its related Airframe or Engines or the interest of the Security Trustee therein or impair the Lien of the Mortgage; (f) Liens arising out of any judgment or award against the Company (or any Permitted Lessee), so long as such judgment shall, within 60 days after the entry thereof, have been discharged or vacated, or execution thereof stayed pending appeal or shall have been discharged, vacated or reversed within 60 days after the expiration of such stay, and so long as during any such 60 day period there is not, or any such judgment or award does not involve, any material risk of the sale, forfeiture or loss of such Aircraft, or its related Airframe or Engines or the interest of the Security Trustee therein or impair the Lien of the Mortgage; (g) salvage or similar rights of insurers under policies required to be maintained by Company under Section 3.06 of the Mortgage; and (h) any other Lien with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8650"/>
                <wp:effectExtent l="0" t="0" r="0" b="0"/>
                <wp:wrapNone/>
                <wp:docPr id="77" name="Frame7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respect to which the Company (or any Permitted Lessee) shall have provided a bond, cash collateral or other security adequate in the reasonable opinion of the Security Trustee.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Person</w:t>
      </w:r>
      <w:r>
        <w:rPr>
          <w:color w:val="000000"/>
        </w:rPr>
        <w:t xml:space="preserve">” </w:t>
      </w:r>
      <w:r>
        <w:rPr>
          <w:rFonts w:ascii="Times New Roman;sans-serif" w:hAnsi="Times New Roman;sans-serif"/>
          <w:b w:val="false"/>
          <w:color w:val="000000"/>
          <w:sz w:val="24"/>
        </w:rPr>
        <w:t>means any natural person, corporation, company, voluntary association, partnership, limited liability company, joint venture, trust, unincorporated organization or Governmental Authority or other entity of whatever nature.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Plan</w:t>
      </w:r>
      <w:r>
        <w:rPr>
          <w:color w:val="000000"/>
        </w:rPr>
        <w:t xml:space="preserve">” </w:t>
      </w:r>
      <w:r>
        <w:rPr>
          <w:rFonts w:ascii="Times New Roman;sans-serif" w:hAnsi="Times New Roman;sans-serif"/>
          <w:b w:val="false"/>
          <w:color w:val="000000"/>
          <w:sz w:val="24"/>
        </w:rPr>
        <w:t>means any plan defined in Section 4021(a) of ERISA in respect of which the Company is an “employer” or a “substantial employer” as such terms are defined in ERISA.</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Property</w:t>
      </w:r>
      <w:r>
        <w:rPr>
          <w:color w:val="000000"/>
        </w:rPr>
        <w:t xml:space="preserve">” </w:t>
      </w:r>
      <w:r>
        <w:rPr>
          <w:rFonts w:ascii="Times New Roman;sans-serif" w:hAnsi="Times New Roman;sans-serif"/>
          <w:b w:val="false"/>
          <w:color w:val="000000"/>
          <w:sz w:val="24"/>
        </w:rPr>
        <w:t>of any Person means any property or assets, or interest therein, of such Person.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Prospective International Interest</w:t>
      </w:r>
      <w:r>
        <w:rPr>
          <w:color w:val="000000"/>
        </w:rPr>
        <w:t xml:space="preserve">” </w:t>
      </w:r>
      <w:r>
        <w:rPr>
          <w:rFonts w:ascii="Times New Roman;sans-serif" w:hAnsi="Times New Roman;sans-serif"/>
          <w:b w:val="false"/>
          <w:color w:val="000000"/>
          <w:sz w:val="24"/>
        </w:rPr>
        <w:t>has the meaning attributed to “prospective international interest” in the Cape Town Treaty.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Purchase Price</w:t>
      </w:r>
      <w:r>
        <w:rPr>
          <w:color w:val="000000"/>
        </w:rPr>
        <w:t xml:space="preserve">” </w:t>
      </w:r>
      <w:r>
        <w:rPr>
          <w:rFonts w:ascii="Times New Roman;sans-serif" w:hAnsi="Times New Roman;sans-serif"/>
          <w:b w:val="false"/>
          <w:color w:val="000000"/>
          <w:sz w:val="24"/>
        </w:rPr>
        <w:t xml:space="preserve">means, in respect of an Aircraft, the total purchase price for such Aircraft that was paid by the Company (exclusive of any taxes) pursuant to the Sale Agreement, as notified by the Company in writing to the Facility Agent in the relevant Notice of Borrowing or otherwise at least three Business Days prior to the relevant Funding Date.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Register</w:t>
      </w:r>
      <w:r>
        <w:rPr>
          <w:color w:val="000000"/>
        </w:rPr>
        <w:t xml:space="preserve">” </w:t>
      </w:r>
      <w:r>
        <w:rPr>
          <w:rFonts w:ascii="Times New Roman;sans-serif" w:hAnsi="Times New Roman;sans-serif"/>
          <w:b w:val="false"/>
          <w:color w:val="000000"/>
          <w:sz w:val="24"/>
        </w:rPr>
        <w:t>has the meaning set forth in Section 13.04(c).</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Regulation U</w:t>
      </w:r>
      <w:r>
        <w:rPr>
          <w:color w:val="000000"/>
        </w:rPr>
        <w:t xml:space="preserve">” </w:t>
      </w:r>
      <w:r>
        <w:rPr>
          <w:rFonts w:ascii="Times New Roman;sans-serif" w:hAnsi="Times New Roman;sans-serif"/>
          <w:b w:val="false"/>
          <w:color w:val="000000"/>
          <w:sz w:val="24"/>
        </w:rPr>
        <w:t>means Regulation U of the Board of Governors of the Federal Reserve System.</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Related Parties</w:t>
      </w:r>
      <w:r>
        <w:rPr>
          <w:color w:val="000000"/>
        </w:rPr>
        <w:t xml:space="preserve">” </w:t>
      </w:r>
      <w:r>
        <w:rPr>
          <w:rFonts w:ascii="Times New Roman;sans-serif" w:hAnsi="Times New Roman;sans-serif"/>
          <w:b w:val="false"/>
          <w:color w:val="000000"/>
          <w:sz w:val="24"/>
        </w:rPr>
        <w:t>means, with respect to any Person, such Person’s Affiliates and such Person’s and such Person’s Affiliates’ respective managers, administrators, trustees, partners, directors, officers, employees, agents, fund managers, brokers, advisors and representatives, including accountants, auditors and legal counsel of such Person and of such Person’s Affiliates.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Relevant Governmental Body</w:t>
      </w:r>
      <w:r>
        <w:rPr>
          <w:color w:val="000000"/>
        </w:rPr>
        <w:t xml:space="preserve">” </w:t>
      </w:r>
      <w:r>
        <w:rPr>
          <w:rFonts w:ascii="Times New Roman;sans-serif" w:hAnsi="Times New Roman;sans-serif"/>
          <w:b w:val="false"/>
          <w:color w:val="000000"/>
          <w:sz w:val="24"/>
        </w:rPr>
        <w:t>means the Federal Reserve Board or the Federal Reserve Bank of New York, or a committee officially endorsed or convened by the Federal Reserve Board or the Federal Reserve Bank of New York, or any successor thereto.</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Removable Part</w:t>
      </w:r>
      <w:r>
        <w:rPr>
          <w:color w:val="000000"/>
        </w:rPr>
        <w:t xml:space="preserve">” </w:t>
      </w:r>
      <w:r>
        <w:rPr>
          <w:rFonts w:ascii="Times New Roman;sans-serif" w:hAnsi="Times New Roman;sans-serif"/>
          <w:b w:val="false"/>
          <w:color w:val="000000"/>
          <w:sz w:val="24"/>
        </w:rPr>
        <w:t>is defined in Section 3.04(d) of the Mortgage.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Replacement Airframe</w:t>
      </w:r>
      <w:r>
        <w:rPr>
          <w:color w:val="000000"/>
        </w:rPr>
        <w:t xml:space="preserve">” </w:t>
      </w:r>
      <w:r>
        <w:rPr>
          <w:rFonts w:ascii="Times New Roman;sans-serif" w:hAnsi="Times New Roman;sans-serif"/>
          <w:b w:val="false"/>
          <w:color w:val="000000"/>
          <w:sz w:val="24"/>
        </w:rPr>
        <w:t>means, with respect to any Airframe, any airframe substituted for such Airframe pursuant to Section 3.05 of the Mortgage.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Replacement Engine</w:t>
      </w:r>
      <w:r>
        <w:rPr>
          <w:color w:val="000000"/>
        </w:rPr>
        <w:t xml:space="preserve">” </w:t>
      </w:r>
      <w:r>
        <w:rPr>
          <w:rFonts w:ascii="Times New Roman;sans-serif" w:hAnsi="Times New Roman;sans-serif"/>
          <w:b w:val="false"/>
          <w:color w:val="000000"/>
          <w:sz w:val="24"/>
        </w:rPr>
        <w:t>means, with respect to any Engine, an engine substituted for such Engine pursuant to Section 3.04(e) or 3.05 of the Mortgage.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Sale Agreement</w:t>
      </w:r>
      <w:r>
        <w:rPr>
          <w:color w:val="000000"/>
        </w:rPr>
        <w:t xml:space="preserve">” </w:t>
      </w:r>
      <w:r>
        <w:rPr>
          <w:rFonts w:ascii="Times New Roman;sans-serif" w:hAnsi="Times New Roman;sans-serif"/>
          <w:b w:val="false"/>
          <w:color w:val="000000"/>
          <w:sz w:val="24"/>
        </w:rPr>
        <w:t>means, in respect of the Aircraft, that certain sale and purchase agreement dated March 16, 2023 between the Company as purchaser and each of APF 4 Projekt Nr. 6A GmbH, APF 4 Projekt Nr. 6B GmbH, APF 4 Projekt Nr. 6C GmbH, APF 4 Projekt Nr. 6D GmbH and APF 4 Projekt Nr. 6E GmbH, as sellers.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8650"/>
                <wp:effectExtent l="0" t="0" r="0" b="0"/>
                <wp:wrapNone/>
                <wp:docPr id="78" name="Frame7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jc w:val="both"/>
        <w:rPr/>
      </w:pPr>
      <w:r>
        <w:rPr>
          <w:color w:val="000000"/>
        </w:rPr>
        <w:t>“</w:t>
      </w:r>
      <w:r>
        <w:rPr>
          <w:rFonts w:ascii="Times New Roman;sans-serif" w:hAnsi="Times New Roman;sans-serif"/>
          <w:b/>
          <w:color w:val="000000"/>
          <w:sz w:val="24"/>
          <w:u w:val="single"/>
        </w:rPr>
        <w:t>Sanctioned Country</w:t>
      </w:r>
      <w:r>
        <w:rPr>
          <w:color w:val="000000"/>
        </w:rPr>
        <w:t xml:space="preserve">” </w:t>
      </w:r>
      <w:r>
        <w:rPr>
          <w:rFonts w:ascii="Times New Roman;sans-serif" w:hAnsi="Times New Roman;sans-serif"/>
          <w:b w:val="false"/>
          <w:color w:val="000000"/>
          <w:sz w:val="24"/>
        </w:rPr>
        <w:t>means a country, territory or region that is itself the subject or target of any Sanctions broadly prohibiting dealings with such country, territory or region.</w:t>
      </w:r>
    </w:p>
    <w:p>
      <w:pPr>
        <w:pStyle w:val="TextBody"/>
        <w:spacing w:lineRule="auto" w:line="240" w:before="0" w:after="240"/>
        <w:ind w:left="0" w:right="0" w:firstLine="1440"/>
        <w:jc w:val="both"/>
        <w:rPr/>
      </w:pPr>
      <w:r>
        <w:rPr>
          <w:color w:val="000000"/>
        </w:rPr>
        <w:t>“</w:t>
      </w:r>
      <w:r>
        <w:rPr>
          <w:rFonts w:ascii="Times New Roman;sans-serif" w:hAnsi="Times New Roman;sans-serif"/>
          <w:b/>
          <w:color w:val="000000"/>
          <w:sz w:val="24"/>
          <w:u w:val="single"/>
        </w:rPr>
        <w:t>Sanctioned Person</w:t>
      </w:r>
      <w:r>
        <w:rPr>
          <w:color w:val="000000"/>
        </w:rPr>
        <w:t xml:space="preserve">” </w:t>
      </w:r>
      <w:r>
        <w:rPr>
          <w:rFonts w:ascii="Times New Roman;sans-serif" w:hAnsi="Times New Roman;sans-serif"/>
          <w:b w:val="false"/>
          <w:color w:val="000000"/>
          <w:sz w:val="24"/>
        </w:rPr>
        <w:t xml:space="preserve">means any Person: (a) listed in or targeted by any Sanctions-related list of designated Persons maintained by the U.S. government (including, but not limited to, the Specially Designated Nationals and Blocked Persons List maintained by OFAC and any similar list maintained by the U.S. Department of State or the U.S. Department of Commerce), the United Nations Security Council, the European Union, His Majesty’s Treasury of the United Kingdom, Japan or Germany; (b)  organized, incorporated or resident in a Sanctioned Country; or (c) directly or indirectly owned (in excess of any percentage ownership threshold that may be triggered under applicable Law) by, controlled by, or acting for the benefit or on behalf of, any Person described in clauses (a) or (b) or (d); or (d) that is otherwise the target of Sanctions. </w:t>
      </w:r>
    </w:p>
    <w:p>
      <w:pPr>
        <w:pStyle w:val="TextBody"/>
        <w:spacing w:lineRule="auto" w:line="240" w:before="0" w:after="240"/>
        <w:ind w:left="0" w:right="0" w:firstLine="1440"/>
        <w:jc w:val="both"/>
        <w:rPr/>
      </w:pPr>
      <w:r>
        <w:rPr>
          <w:color w:val="000000"/>
        </w:rPr>
        <w:t>“</w:t>
      </w:r>
      <w:r>
        <w:rPr>
          <w:rFonts w:ascii="Times New Roman;sans-serif" w:hAnsi="Times New Roman;sans-serif"/>
          <w:b/>
          <w:color w:val="000000"/>
          <w:sz w:val="24"/>
          <w:u w:val="single"/>
        </w:rPr>
        <w:t>Sanctions</w:t>
      </w:r>
      <w:r>
        <w:rPr>
          <w:color w:val="000000"/>
        </w:rPr>
        <w:t xml:space="preserve">” </w:t>
      </w:r>
      <w:r>
        <w:rPr>
          <w:rFonts w:ascii="Times New Roman;sans-serif" w:hAnsi="Times New Roman;sans-serif"/>
          <w:b w:val="false"/>
          <w:color w:val="000000"/>
          <w:sz w:val="24"/>
        </w:rPr>
        <w:t>means any and all economic, financial and trade sanctions, export controls or embargoes administered, enacted, imposed or enforced by any Sanctions Authority.</w:t>
      </w:r>
    </w:p>
    <w:p>
      <w:pPr>
        <w:pStyle w:val="TextBody"/>
        <w:spacing w:lineRule="auto" w:line="240" w:before="0" w:after="240"/>
        <w:ind w:left="0" w:right="0" w:firstLine="1440"/>
        <w:jc w:val="both"/>
        <w:rPr/>
      </w:pPr>
      <w:r>
        <w:rPr>
          <w:color w:val="000000"/>
        </w:rPr>
        <w:t>“</w:t>
      </w:r>
      <w:r>
        <w:rPr>
          <w:rFonts w:ascii="Times New Roman;sans-serif" w:hAnsi="Times New Roman;sans-serif"/>
          <w:b/>
          <w:color w:val="000000"/>
          <w:sz w:val="24"/>
          <w:u w:val="single"/>
        </w:rPr>
        <w:t>Sanctions Authority</w:t>
      </w:r>
      <w:r>
        <w:rPr>
          <w:color w:val="000000"/>
        </w:rPr>
        <w:t xml:space="preserve">” </w:t>
      </w:r>
      <w:r>
        <w:rPr>
          <w:rFonts w:ascii="Times New Roman;sans-serif" w:hAnsi="Times New Roman;sans-serif"/>
          <w:b w:val="false"/>
          <w:color w:val="000000"/>
          <w:sz w:val="24"/>
        </w:rPr>
        <w:t>means, individually and collectively, (a) the United States of America, (b) the European Union or any of its member states, (c) the United Kingdom, (d) Japan, (e) the respective governmental institutions and agencies of any of the foregoing, including, without limitation, OFAC, the U.S. Department of State, the U.S. Department of Commerce, His Majesty’s Treasury of the United Kingdom, Japan and the Parliament or Council of the European Union and (f) the United Nations Security Council.</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SEC</w:t>
      </w:r>
      <w:r>
        <w:rPr>
          <w:color w:val="000000"/>
        </w:rPr>
        <w:t xml:space="preserve">” </w:t>
      </w:r>
      <w:r>
        <w:rPr>
          <w:rFonts w:ascii="Times New Roman;sans-serif" w:hAnsi="Times New Roman;sans-serif"/>
          <w:b w:val="false"/>
          <w:color w:val="000000"/>
          <w:sz w:val="24"/>
        </w:rPr>
        <w:t>means the Securities and Exchange Commission of the United States, or any Governmental Authority succeeding to the functions of such Securities and Exchange Commission.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Section 1110</w:t>
      </w:r>
      <w:r>
        <w:rPr>
          <w:color w:val="000000"/>
        </w:rPr>
        <w:t xml:space="preserve">” </w:t>
      </w:r>
      <w:r>
        <w:rPr>
          <w:rFonts w:ascii="Times New Roman;sans-serif" w:hAnsi="Times New Roman;sans-serif"/>
          <w:b w:val="false"/>
          <w:color w:val="000000"/>
          <w:sz w:val="24"/>
        </w:rPr>
        <w:t>means Section 1110 of the Bankruptcy Code.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Secured Parties</w:t>
      </w:r>
      <w:r>
        <w:rPr>
          <w:color w:val="000000"/>
        </w:rPr>
        <w:t xml:space="preserve">” </w:t>
      </w:r>
      <w:r>
        <w:rPr>
          <w:rFonts w:ascii="Times New Roman;sans-serif" w:hAnsi="Times New Roman;sans-serif"/>
          <w:b w:val="false"/>
          <w:color w:val="000000"/>
          <w:sz w:val="24"/>
        </w:rPr>
        <w:t>means, collectively, the Lenders, the Facility Agent and the Security Trustee.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Security Deposit</w:t>
      </w:r>
      <w:r>
        <w:rPr>
          <w:color w:val="000000"/>
        </w:rPr>
        <w:t xml:space="preserve">” </w:t>
      </w:r>
      <w:r>
        <w:rPr>
          <w:rFonts w:ascii="Times New Roman;sans-serif" w:hAnsi="Times New Roman;sans-serif"/>
          <w:b w:val="false"/>
          <w:color w:val="000000"/>
          <w:sz w:val="24"/>
        </w:rPr>
        <w:t>means, with respect to any Permitted Lease, the deposit collected from, or on behalf of, the relevant Permitted Lessee as a security deposit in connection with such Permitted Lease.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Security Documents</w:t>
      </w:r>
      <w:r>
        <w:rPr>
          <w:color w:val="000000"/>
        </w:rPr>
        <w:t xml:space="preserve">” </w:t>
      </w:r>
      <w:r>
        <w:rPr>
          <w:rFonts w:ascii="Times New Roman;sans-serif" w:hAnsi="Times New Roman;sans-serif"/>
          <w:b w:val="false"/>
          <w:color w:val="000000"/>
          <w:sz w:val="24"/>
        </w:rPr>
        <w:t>means, collectively, the Mortgage, the Mortgage Supplements, any Local Law Mortgage, any Lessee Consent, any Deregistration Document, any Assignment of Insurances, any Assignment of Reinsurances, any Engine Warranty Agreement, any Airframe Warranties Agreement, the Engine Consent and Agreements and the Consent and Agreements.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Security Trustee</w:t>
      </w:r>
      <w:r>
        <w:rPr>
          <w:color w:val="000000"/>
        </w:rPr>
        <w:t xml:space="preserve">” </w:t>
      </w:r>
      <w:r>
        <w:rPr>
          <w:rFonts w:ascii="Times New Roman;sans-serif" w:hAnsi="Times New Roman;sans-serif"/>
          <w:b w:val="false"/>
          <w:color w:val="000000"/>
          <w:sz w:val="24"/>
        </w:rPr>
        <w:t>has the meaning set forth in the introduction hereto.</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Servicer</w:t>
      </w:r>
      <w:r>
        <w:rPr>
          <w:color w:val="000000"/>
        </w:rPr>
        <w:t xml:space="preserve">” </w:t>
      </w:r>
      <w:r>
        <w:rPr>
          <w:rFonts w:ascii="Times New Roman;sans-serif" w:hAnsi="Times New Roman;sans-serif"/>
          <w:b w:val="false"/>
          <w:color w:val="000000"/>
          <w:sz w:val="24"/>
        </w:rPr>
        <w:t xml:space="preserve">means GOAL German Operating Aircraft Leasing GmbH &amp; Co, KG.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Servicer Consent</w:t>
      </w:r>
      <w:r>
        <w:rPr>
          <w:color w:val="000000"/>
        </w:rPr>
        <w:t xml:space="preserve">” </w:t>
      </w:r>
      <w:r>
        <w:rPr>
          <w:rFonts w:ascii="Times New Roman;sans-serif" w:hAnsi="Times New Roman;sans-serif"/>
          <w:b w:val="false"/>
          <w:color w:val="000000"/>
          <w:sz w:val="24"/>
        </w:rPr>
        <w:t xml:space="preserve">means that certain notice and acknowledgment in respect of the collateral assignment of the Servicing Agreement dated the Effective Date among the Company, the Security Trustee and the Servicer.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Servicer Termination Event</w:t>
      </w:r>
      <w:r>
        <w:rPr>
          <w:color w:val="000000"/>
        </w:rPr>
        <w:t xml:space="preserve">” </w:t>
      </w:r>
      <w:r>
        <w:rPr>
          <w:rFonts w:ascii="Times New Roman;sans-serif" w:hAnsi="Times New Roman;sans-serif"/>
          <w:b w:val="false"/>
          <w:color w:val="000000"/>
          <w:sz w:val="24"/>
        </w:rPr>
        <w:t xml:space="preserve">means each of the events described in Sections 4.2 and 4.4 of the Servicing Agreement with respect to the “Service Provider”.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8650"/>
                <wp:effectExtent l="0" t="0" r="0" b="0"/>
                <wp:wrapNone/>
                <wp:docPr id="79" name="Frame7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Servicing Agreement</w:t>
      </w:r>
      <w:r>
        <w:rPr>
          <w:color w:val="000000"/>
        </w:rPr>
        <w:t xml:space="preserve">” </w:t>
      </w:r>
      <w:r>
        <w:rPr>
          <w:rFonts w:ascii="Times New Roman;sans-serif" w:hAnsi="Times New Roman;sans-serif"/>
          <w:b w:val="false"/>
          <w:color w:val="000000"/>
          <w:sz w:val="24"/>
        </w:rPr>
        <w:t xml:space="preserve">means that certain service agreement dated March 16, 2023 between the Company and the Servicer.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Servicing Fee</w:t>
      </w:r>
      <w:r>
        <w:rPr>
          <w:color w:val="000000"/>
        </w:rPr>
        <w:t xml:space="preserve">” </w:t>
      </w:r>
      <w:r>
        <w:rPr>
          <w:rFonts w:ascii="Times New Roman;sans-serif" w:hAnsi="Times New Roman;sans-serif"/>
          <w:b w:val="false"/>
          <w:color w:val="000000"/>
          <w:sz w:val="24"/>
        </w:rPr>
        <w:t xml:space="preserve">means a fee actually payable to the Servicer under the Servicing Agreement of up to $34,250 per month.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SOFR</w:t>
      </w:r>
      <w:r>
        <w:rPr>
          <w:color w:val="000000"/>
        </w:rPr>
        <w:t xml:space="preserve">” </w:t>
      </w:r>
      <w:r>
        <w:rPr>
          <w:rFonts w:ascii="Times New Roman;sans-serif" w:hAnsi="Times New Roman;sans-serif"/>
          <w:b w:val="false"/>
          <w:color w:val="000000"/>
          <w:sz w:val="24"/>
        </w:rPr>
        <w:t>means a rate equal to the secured overnight financing rate as administered by the SOFR Administrator.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SOFR Administrator</w:t>
      </w:r>
      <w:r>
        <w:rPr>
          <w:color w:val="000000"/>
        </w:rPr>
        <w:t xml:space="preserve">” </w:t>
      </w:r>
      <w:r>
        <w:rPr>
          <w:rFonts w:ascii="Times New Roman;sans-serif" w:hAnsi="Times New Roman;sans-serif"/>
          <w:b w:val="false"/>
          <w:color w:val="000000"/>
          <w:sz w:val="24"/>
        </w:rPr>
        <w:t>means the Federal Reserve Bank of New York (or a successor administrator of the secured overnight financing rate).</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SOFR Breakage</w:t>
      </w:r>
      <w:r>
        <w:rPr>
          <w:color w:val="000000"/>
        </w:rPr>
        <w:t xml:space="preserve">” </w:t>
      </w:r>
      <w:r>
        <w:rPr>
          <w:rFonts w:ascii="Times New Roman;sans-serif" w:hAnsi="Times New Roman;sans-serif"/>
          <w:b w:val="false"/>
          <w:color w:val="000000"/>
          <w:sz w:val="24"/>
        </w:rPr>
        <w:t>means any amount payable by the Company to any Lender pursuant to Section 5.04(a).</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Special Default</w:t>
      </w:r>
      <w:r>
        <w:rPr>
          <w:color w:val="000000"/>
        </w:rPr>
        <w:t xml:space="preserve">” </w:t>
      </w:r>
      <w:r>
        <w:rPr>
          <w:rFonts w:ascii="Times New Roman;sans-serif" w:hAnsi="Times New Roman;sans-serif"/>
          <w:b w:val="false"/>
          <w:color w:val="000000"/>
          <w:sz w:val="24"/>
        </w:rPr>
        <w:t>means the occurrence of any Default referred to in Section 9(a), (g) or (h).</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State of Registration</w:t>
      </w:r>
      <w:r>
        <w:rPr>
          <w:color w:val="000000"/>
        </w:rPr>
        <w:t xml:space="preserve">” </w:t>
      </w:r>
      <w:r>
        <w:rPr>
          <w:rFonts w:ascii="Times New Roman;sans-serif" w:hAnsi="Times New Roman;sans-serif"/>
          <w:b w:val="false"/>
          <w:color w:val="000000"/>
          <w:sz w:val="24"/>
        </w:rPr>
        <w:t xml:space="preserve">means, in respect of any Aircraft, the jurisdiction under the laws of which such Aircraft is registered. On the Funding Date for a Loan related to an Aircraft, the State of Registration for such Aircraft shall be the Sultanate of Oman.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Subsidiary</w:t>
      </w:r>
      <w:r>
        <w:rPr>
          <w:color w:val="000000"/>
        </w:rPr>
        <w:t xml:space="preserve">” </w:t>
      </w:r>
      <w:r>
        <w:rPr>
          <w:rFonts w:ascii="Times New Roman;sans-serif" w:hAnsi="Times New Roman;sans-serif"/>
          <w:b w:val="false"/>
          <w:color w:val="000000"/>
          <w:sz w:val="24"/>
        </w:rPr>
        <w:t>of any Person means any corporation or other entity more than 50% of the Voting Shares in which is owned or controlled, directly or indirectly, by such Person and/or by any Subsidiary of such Person.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Tax Eligible Lender</w:t>
      </w:r>
      <w:r>
        <w:rPr>
          <w:color w:val="000000"/>
        </w:rPr>
        <w:t xml:space="preserve">” </w:t>
      </w:r>
      <w:r>
        <w:rPr>
          <w:rFonts w:ascii="Times New Roman;sans-serif" w:hAnsi="Times New Roman;sans-serif"/>
          <w:b w:val="false"/>
          <w:color w:val="000000"/>
          <w:sz w:val="24"/>
        </w:rPr>
        <w:t>means an Agent, Lender or other recipient of payments under the Loan Documents that (a) is a resident of France, the Netherlands, Germany or the United Kingdom if such country’s income tax treaty with the United States provides for a zero rate of withholding tax on interest, (b) is a resident of another country that is party to an income tax treaty with the United States which provides for zero rate of withholding tax on interest under the Loan Documents, or (c) books the Loan through a branch of such Lender in the United States and income in respect thereof is effectively connected with such branch.</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Tax Indemnitee</w:t>
      </w:r>
      <w:r>
        <w:rPr>
          <w:color w:val="000000"/>
        </w:rPr>
        <w:t xml:space="preserve">” </w:t>
      </w:r>
      <w:r>
        <w:rPr>
          <w:rFonts w:ascii="Times New Roman;sans-serif" w:hAnsi="Times New Roman;sans-serif"/>
          <w:b w:val="false"/>
          <w:color w:val="000000"/>
          <w:sz w:val="24"/>
        </w:rPr>
        <w:t>shall mean each Lender, the Facility Agent, the Security Trustee and their respective Affiliates, successors and permitted assigns.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Tax Indemnitee Related Person</w:t>
      </w:r>
      <w:r>
        <w:rPr>
          <w:color w:val="000000"/>
        </w:rPr>
        <w:t xml:space="preserve">” </w:t>
      </w:r>
      <w:r>
        <w:rPr>
          <w:rFonts w:ascii="Times New Roman;sans-serif" w:hAnsi="Times New Roman;sans-serif"/>
          <w:b w:val="false"/>
          <w:color w:val="000000"/>
          <w:sz w:val="24"/>
        </w:rPr>
        <w:t>shall mean, with respect to a Tax Indemnitee, if such person is an Affiliate or employer of such Tax Indemnitee, a director, officer, employee, agent, or servant of such Tax Indemnitee or any such Affiliate or successor or permitted assign of any of the foregoing.</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Taxes</w:t>
      </w:r>
      <w:r>
        <w:rPr>
          <w:color w:val="000000"/>
        </w:rPr>
        <w:t xml:space="preserve">” </w:t>
      </w:r>
      <w:r>
        <w:rPr>
          <w:rFonts w:ascii="Times New Roman;sans-serif" w:hAnsi="Times New Roman;sans-serif"/>
          <w:b w:val="false"/>
          <w:color w:val="000000"/>
          <w:sz w:val="24"/>
        </w:rPr>
        <w:t>means all taxes, charges, fees, imports, duties, deductions, withholdings (including backup withholding), levies or other assessments (including income, gross receipts, profits, withholding, excise, property, sales, use, license, occupation and franchise taxes and including any related interest, penalties or other additions thereto) imposed by any jurisdiction or taxing authority (whether international, foreign or domestic).</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Term SOFR</w:t>
      </w:r>
      <w:r>
        <w:rPr>
          <w:color w:val="000000"/>
        </w:rPr>
        <w:t xml:space="preserve">” </w:t>
      </w:r>
      <w:r>
        <w:rPr>
          <w:rFonts w:ascii="Times New Roman;sans-serif" w:hAnsi="Times New Roman;sans-serif"/>
          <w:b w:val="false"/>
          <w:color w:val="000000"/>
          <w:sz w:val="24"/>
        </w:rPr>
        <w:t>means, for any calculation with respect to a Loan, the Term SOFR Reference Rate for a one-month tenor on the day (such day, the “</w:t>
      </w:r>
      <w:r>
        <w:rPr>
          <w:rFonts w:ascii="Times New Roman;sans-serif" w:hAnsi="Times New Roman;sans-serif"/>
          <w:b/>
          <w:color w:val="000000"/>
          <w:sz w:val="24"/>
        </w:rPr>
        <w:t>Periodic Term SOFR Determination Day</w:t>
      </w:r>
      <w:r>
        <w:rPr>
          <w:color w:val="000000"/>
        </w:rPr>
        <w:t>”</w:t>
      </w:r>
      <w:r>
        <w:rPr>
          <w:rFonts w:ascii="Times New Roman;sans-serif" w:hAnsi="Times New Roman;sans-serif"/>
          <w:b w:val="false"/>
          <w:color w:val="000000"/>
          <w:sz w:val="24"/>
        </w:rPr>
        <w:t xml:space="preserve">) that is two (2) U.S. Government Securities Business Days prior to the first day of such Interest Period, as such rate is published by the Term SOFR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however, that if as of 5:00 p.m. (New York City time) on any Periodic Term SOFR Determination Day the Term SOFR Reference Rate for the one-month tenor has not been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28650"/>
                <wp:effectExtent l="0" t="0" r="0" b="0"/>
                <wp:wrapNone/>
                <wp:docPr id="80" name="Frame7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published by the Term SOFR Administrator and a Benchmark Replacement Date with respect to the Term SOFR Reference Rate has not occurred, then Term SOFR will be the Term SOFR Reference Rate for a one-month tenor as published by the Term SOFR Administrator on the first preceding U.S. Government Securities Business Day for which such Term SOFR Reference Rate for a one-month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Term SOFR determined as provided above (including pursuant to the proviso above) shall ever be less than the Floor, then Term SOFR shall be deemed to be the Floor.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Term SOFR Administrator</w:t>
      </w:r>
      <w:r>
        <w:rPr>
          <w:color w:val="000000"/>
        </w:rPr>
        <w:t xml:space="preserve">” </w:t>
      </w:r>
      <w:r>
        <w:rPr>
          <w:rFonts w:ascii="Times New Roman;sans-serif" w:hAnsi="Times New Roman;sans-serif"/>
          <w:b w:val="false"/>
          <w:color w:val="000000"/>
          <w:sz w:val="24"/>
        </w:rPr>
        <w:t>means CME Group Benchmark Administration Limited (CBA) (or a successor administrator of the Term SOFR Reference Rate selected by the Facility Agent in its reasonable discretion).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Term SOFR Reference Rate</w:t>
      </w:r>
      <w:r>
        <w:rPr>
          <w:color w:val="000000"/>
        </w:rPr>
        <w:t xml:space="preserve">” </w:t>
      </w:r>
      <w:r>
        <w:rPr>
          <w:rFonts w:ascii="Times New Roman;sans-serif" w:hAnsi="Times New Roman;sans-serif"/>
          <w:b w:val="false"/>
          <w:color w:val="000000"/>
          <w:sz w:val="24"/>
        </w:rPr>
        <w:t>means the forward-looking term rate based on SOFR.</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Transacting User Entity</w:t>
      </w:r>
      <w:r>
        <w:rPr>
          <w:color w:val="000000"/>
        </w:rPr>
        <w:t xml:space="preserve">” </w:t>
      </w:r>
      <w:r>
        <w:rPr>
          <w:rFonts w:ascii="Times New Roman;sans-serif" w:hAnsi="Times New Roman;sans-serif"/>
          <w:b w:val="false"/>
          <w:color w:val="000000"/>
          <w:sz w:val="24"/>
        </w:rPr>
        <w:t>is defined in Section 2.1.11 of the Regulations of the International Registry.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UCC</w:t>
      </w:r>
      <w:r>
        <w:rPr>
          <w:color w:val="000000"/>
        </w:rPr>
        <w:t xml:space="preserve">” </w:t>
      </w:r>
      <w:r>
        <w:rPr>
          <w:rFonts w:ascii="Times New Roman;sans-serif" w:hAnsi="Times New Roman;sans-serif"/>
          <w:b w:val="false"/>
          <w:color w:val="000000"/>
          <w:sz w:val="24"/>
        </w:rPr>
        <w:t>means the Uniform Commercial Code as in effect in any applicable jurisdiction.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UK Financial Institution</w:t>
      </w:r>
      <w:r>
        <w:rPr>
          <w:color w:val="000000"/>
        </w:rPr>
        <w:t xml:space="preserve">” </w:t>
      </w:r>
      <w:r>
        <w:rPr>
          <w:rFonts w:ascii="Times New Roman;sans-serif" w:hAnsi="Times New Roman;sans-serif"/>
          <w:b w:val="false"/>
          <w:color w:val="000000"/>
          <w:sz w:val="24"/>
        </w:rPr>
        <w:t xml:space="preserve">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Unadjusted Benchmark Replacement</w:t>
      </w:r>
      <w:r>
        <w:rPr>
          <w:color w:val="000000"/>
        </w:rPr>
        <w:t xml:space="preserve">” </w:t>
      </w:r>
      <w:r>
        <w:rPr>
          <w:rFonts w:ascii="Times New Roman;sans-serif" w:hAnsi="Times New Roman;sans-serif"/>
          <w:b w:val="false"/>
          <w:color w:val="000000"/>
          <w:sz w:val="24"/>
        </w:rPr>
        <w:t>means the applicable Benchmark Replacement excluding the related Benchmark Replacement Adjustment.</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United States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color w:val="000000"/>
          <w:sz w:val="24"/>
          <w:u w:val="single"/>
        </w:rPr>
        <w:t>U.S.</w:t>
      </w:r>
      <w:r>
        <w:rPr>
          <w:color w:val="000000"/>
        </w:rPr>
        <w:t xml:space="preserve">” </w:t>
      </w:r>
      <w:r>
        <w:rPr>
          <w:rFonts w:ascii="Times New Roman;sans-serif" w:hAnsi="Times New Roman;sans-serif"/>
          <w:b w:val="false"/>
          <w:color w:val="000000"/>
          <w:sz w:val="24"/>
        </w:rPr>
        <w:t xml:space="preserve">means the United States of America;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for geographic purposes, “United States” means, in aggregate, the 50 States and the District of Columbia of the United States of America.</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U.S. Certificated Air Carrier</w:t>
      </w:r>
      <w:r>
        <w:rPr>
          <w:color w:val="000000"/>
        </w:rPr>
        <w:t xml:space="preserve">” </w:t>
      </w:r>
      <w:r>
        <w:rPr>
          <w:rFonts w:ascii="Times New Roman;sans-serif" w:hAnsi="Times New Roman;sans-serif"/>
          <w:b w:val="false"/>
          <w:color w:val="000000"/>
          <w:sz w:val="24"/>
        </w:rPr>
        <w:t>means any United States air carrier that is a Citizen of the United States holding an air carrier operating certificate issued pursuant to chapter 447 of title 49 of the United States Code for aircraft capable of carrying 10 or more individuals or 6000 pounds or more of cargo, and as to which there is in force an air carrier operating certificate issued pursuant to Part 121 of the FAA Regulations, or which may operate as an air carrier by certification or otherwise under any successor or substitute provisions therefor or in the absence thereof.</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U.S. Government</w:t>
      </w:r>
      <w:r>
        <w:rPr>
          <w:color w:val="000000"/>
        </w:rPr>
        <w:t xml:space="preserve">” </w:t>
      </w:r>
      <w:r>
        <w:rPr>
          <w:rFonts w:ascii="Times New Roman;sans-serif" w:hAnsi="Times New Roman;sans-serif"/>
          <w:b w:val="false"/>
          <w:color w:val="000000"/>
          <w:sz w:val="24"/>
        </w:rPr>
        <w:t>means the federal government of the United States, or any instrumentality or agency thereof the obligations of which are guaranteed by the full faith and credit of the federal government of the United States.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U.S. Government Securities Business Day</w:t>
      </w:r>
      <w:r>
        <w:rPr>
          <w:color w:val="000000"/>
        </w:rPr>
        <w:t xml:space="preserve">” </w:t>
      </w:r>
      <w:r>
        <w:rPr>
          <w:rFonts w:ascii="Times New Roman;sans-serif" w:hAnsi="Times New Roman;sans-serif"/>
          <w:b w:val="false"/>
          <w:color w:val="000000"/>
          <w:sz w:val="24"/>
        </w:rPr>
        <w:t xml:space="preserve">means any day except for (a) a Saturday, (b) a Sunday or (c) a day on which the Securities Industry and Financial Markets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28650"/>
                <wp:effectExtent l="0" t="0" r="0" b="0"/>
                <wp:wrapNone/>
                <wp:docPr id="81" name="Frame8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Association recommends that the fixed income departments of its members be closed for the entire day for purposes of trading in United States government securities.</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Voting Shares</w:t>
      </w:r>
      <w:r>
        <w:rPr>
          <w:color w:val="000000"/>
        </w:rPr>
        <w:t xml:space="preserve">” </w:t>
      </w:r>
      <w:r>
        <w:rPr>
          <w:rFonts w:ascii="Times New Roman;sans-serif" w:hAnsi="Times New Roman;sans-serif"/>
          <w:b w:val="false"/>
          <w:color w:val="000000"/>
          <w:sz w:val="24"/>
        </w:rPr>
        <w:t>means, with respect to any Person, any class or classes of capital stock or other ownership interests pursuant to which the holders thereof have the general voting power under ordinary circumstances to elect directors, managers or trustees of such Person (irrespective of whether or not, at the time, stock of any other class or classes has, or might have, voting power by reason of the happening of any contingency).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Wet Lease</w:t>
      </w:r>
      <w:r>
        <w:rPr>
          <w:color w:val="000000"/>
        </w:rPr>
        <w:t xml:space="preserve">” </w:t>
      </w:r>
      <w:r>
        <w:rPr>
          <w:rFonts w:ascii="Times New Roman;sans-serif" w:hAnsi="Times New Roman;sans-serif"/>
          <w:b w:val="false"/>
          <w:color w:val="000000"/>
          <w:sz w:val="24"/>
        </w:rPr>
        <w:t>means any arrangement whereby the Company agrees to furnish an Airframe and the related Engines or engines installed thereon to a third party pursuant to which such Airframe and Engines or engines shall at all times be operated by the Company solely by crew employed by the Company possessing all current certificates and licenses required by Law, shall be maintained by the Company in accordance with the provisions of the Mortgage, shall continue to be insured by the Company in accordance with the provisions of the Mortgage, and shall remain registered with the Aviation Authority.</w:t>
      </w:r>
    </w:p>
    <w:p>
      <w:pPr>
        <w:pStyle w:val="TextBody"/>
        <w:spacing w:lineRule="auto" w:line="240" w:before="0" w:after="240"/>
        <w:ind w:left="0" w:right="0" w:firstLine="1440"/>
        <w:rPr/>
      </w:pPr>
      <w:r>
        <w:rPr>
          <w:color w:val="000000"/>
        </w:rPr>
        <w:t>“</w:t>
      </w:r>
      <w:r>
        <w:rPr>
          <w:rFonts w:ascii="Times New Roman;sans-serif" w:hAnsi="Times New Roman;sans-serif"/>
          <w:b/>
          <w:color w:val="000000"/>
          <w:sz w:val="24"/>
          <w:u w:val="single"/>
        </w:rPr>
        <w:t>Write-Down and Conversion Powers</w:t>
      </w:r>
      <w:r>
        <w:rPr>
          <w:color w:val="000000"/>
        </w:rPr>
        <w:t xml:space="preserve">” </w:t>
      </w:r>
      <w:r>
        <w:rPr>
          <w:rFonts w:ascii="Times New Roman;sans-serif" w:hAnsi="Times New Roman;sans-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spacing w:lineRule="auto" w:line="240" w:before="0" w:after="240"/>
        <w:ind w:left="0" w:right="0" w:firstLine="720"/>
        <w:rPr/>
      </w:pPr>
      <w:bookmarkStart w:id="2" w:name="i8f80cd4713b44eeabaf249dd536c3245_262127"/>
      <w:bookmarkEnd w:id="2"/>
      <w:r>
        <w:rPr>
          <w:rFonts w:ascii="Times New Roman;sans-serif" w:hAnsi="Times New Roman;sans-serif"/>
          <w:b w:val="false"/>
          <w:color w:val="000000"/>
          <w:sz w:val="24"/>
        </w:rPr>
        <w:t>1.02    </w:t>
      </w:r>
      <w:r>
        <w:rPr>
          <w:rFonts w:ascii="Times New Roman;sans-serif" w:hAnsi="Times New Roman;sans-serif"/>
          <w:b w:val="false"/>
          <w:color w:val="000000"/>
          <w:sz w:val="24"/>
          <w:u w:val="single"/>
        </w:rPr>
        <w:t>GAAP</w:t>
      </w:r>
      <w:r>
        <w:rPr>
          <w:rFonts w:ascii="Times New Roman;sans-serif" w:hAnsi="Times New Roman;sans-serif"/>
          <w:b w:val="false"/>
          <w:color w:val="000000"/>
          <w:sz w:val="24"/>
        </w:rPr>
        <w:t>. Except as otherwise expressly provided herein, all terms of an accounting or financial nature shall be construed in accordance with GAAP, as in effect from time to time.</w:t>
      </w:r>
    </w:p>
    <w:p>
      <w:pPr>
        <w:pStyle w:val="TextBody"/>
        <w:spacing w:lineRule="auto" w:line="240" w:before="0" w:after="240"/>
        <w:ind w:left="0" w:right="0" w:firstLine="720"/>
        <w:rPr/>
      </w:pPr>
      <w:bookmarkStart w:id="3" w:name="i8f80cd4713b44eeabaf249dd536c3245_262128"/>
      <w:bookmarkEnd w:id="3"/>
      <w:r>
        <w:rPr>
          <w:rFonts w:ascii="Times New Roman;sans-serif" w:hAnsi="Times New Roman;sans-serif"/>
          <w:b w:val="false"/>
          <w:color w:val="000000"/>
          <w:sz w:val="24"/>
        </w:rPr>
        <w:t>1.03    </w:t>
      </w:r>
      <w:r>
        <w:rPr>
          <w:rFonts w:ascii="Times New Roman;sans-serif" w:hAnsi="Times New Roman;sans-serif"/>
          <w:b w:val="false"/>
          <w:color w:val="000000"/>
          <w:sz w:val="24"/>
          <w:u w:val="single"/>
        </w:rPr>
        <w:t>Terms Generally</w:t>
      </w:r>
      <w:r>
        <w:rPr>
          <w:rFonts w:ascii="Times New Roman;sans-serif" w:hAnsi="Times New Roman;sans-serif"/>
          <w:b w:val="false"/>
          <w:color w:val="000000"/>
          <w:sz w:val="24"/>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Annexes, Exhibits and Schedules shall be construed to refer to Sections of, and Annexes, Exhibits and Schedules to, this Agreement, (e) any reference to any Law herein shall, unless otherwise specified, refer to such Law as amended, modified or supplemented from time to time, (f) the words “asset” and “property” shall be construed to have the same meaning and effect and to refer to any and all tangible and intangible assets and properties, including cash, securities, accounts and contract rights, (g) the word “from” when used in connection with a period of time means “from and including” and the word “until” means “to but not including” and (h) references to days, months, quarters and years refer to calendar days, months, quarters and years, respectively.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28650"/>
                <wp:effectExtent l="0" t="0" r="0" b="0"/>
                <wp:wrapNone/>
                <wp:docPr id="82" name="Frame8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4" w:name="i8f80cd4713b44eeabaf249dd536c3245_262129"/>
      <w:bookmarkEnd w:id="4"/>
      <w:r>
        <w:rPr>
          <w:rFonts w:ascii="Times New Roman;sans-serif" w:hAnsi="Times New Roman;sans-serif"/>
          <w:b w:val="false"/>
          <w:color w:val="000000"/>
          <w:sz w:val="24"/>
        </w:rPr>
        <w:t>1.04    </w:t>
      </w:r>
      <w:r>
        <w:rPr>
          <w:rFonts w:ascii="Times New Roman;sans-serif" w:hAnsi="Times New Roman;sans-serif"/>
          <w:b w:val="false"/>
          <w:color w:val="000000"/>
          <w:sz w:val="24"/>
          <w:u w:val="single"/>
        </w:rPr>
        <w:t>Rates</w:t>
      </w:r>
      <w:r>
        <w:rPr>
          <w:rFonts w:ascii="Times New Roman;sans-serif" w:hAnsi="Times New Roman;sans-serif"/>
          <w:b w:val="false"/>
          <w:color w:val="000000"/>
          <w:sz w:val="24"/>
        </w:rPr>
        <w:t xml:space="preserve">. The Facility Agent does not warrant or accept any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Facility Agent and its affiliates or other related entities may engage in transactions that affect the calculation of the Term SOFR Reference Rate, Term SOFR, Adjusted Term SOFR, any alternative, successor or replacement rate (including any Benchmark Replacement) or any relevant adjustments thereto, in each case, in a manner adverse to the Company. The Facility Agent may select information sources or services in its reasonable discretion to ascertain the Term SOFR Reference Rate, Term SOFR, Adjusted Term SOFR or any other Benchmark, or any component definition thereof or rates referred to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spacing w:lineRule="auto" w:line="240" w:before="0" w:after="240"/>
        <w:ind w:left="0" w:right="0" w:firstLine="720"/>
        <w:rPr/>
      </w:pPr>
      <w:bookmarkStart w:id="5" w:name="i8f80cd4713b44eeabaf249dd536c3245_262130"/>
      <w:bookmarkEnd w:id="5"/>
      <w:r>
        <w:rPr>
          <w:rFonts w:ascii="Times New Roman;sans-serif" w:hAnsi="Times New Roman;sans-serif"/>
          <w:b/>
          <w:color w:val="000000"/>
          <w:sz w:val="24"/>
        </w:rPr>
        <w:t>Section 2.</w:t>
      </w:r>
      <w:r>
        <w:rPr>
          <w:rFonts w:ascii="Times New Roman;sans-serif" w:hAnsi="Times New Roman;sans-serif"/>
          <w:b w:val="false"/>
          <w:color w:val="000000"/>
          <w:sz w:val="24"/>
          <w:u w:val="single"/>
        </w:rPr>
        <w:t>The Commitments</w:t>
      </w:r>
      <w:r>
        <w:rPr>
          <w:rFonts w:ascii="Times New Roman;sans-serif" w:hAnsi="Times New Roman;sans-serif"/>
          <w:b w:val="false"/>
          <w:color w:val="000000"/>
          <w:sz w:val="24"/>
        </w:rPr>
        <w:t>.</w:t>
      </w:r>
    </w:p>
    <w:p>
      <w:pPr>
        <w:pStyle w:val="TextBody"/>
        <w:spacing w:lineRule="auto" w:line="240" w:before="0" w:after="240"/>
        <w:ind w:left="0" w:right="0" w:firstLine="720"/>
        <w:rPr/>
      </w:pPr>
      <w:bookmarkStart w:id="6" w:name="i8f80cd4713b44eeabaf249dd536c3245_262131"/>
      <w:bookmarkEnd w:id="6"/>
      <w:r>
        <w:rPr>
          <w:rFonts w:ascii="Times New Roman;sans-serif" w:hAnsi="Times New Roman;sans-serif"/>
          <w:b w:val="false"/>
          <w:color w:val="000000"/>
          <w:sz w:val="24"/>
        </w:rPr>
        <w:t>2.01    </w:t>
      </w:r>
      <w:r>
        <w:rPr>
          <w:rFonts w:ascii="Times New Roman;sans-serif" w:hAnsi="Times New Roman;sans-serif"/>
          <w:b w:val="false"/>
          <w:color w:val="000000"/>
          <w:sz w:val="24"/>
          <w:u w:val="single"/>
        </w:rPr>
        <w:t>Loans</w:t>
      </w:r>
      <w:r>
        <w:rPr>
          <w:rFonts w:ascii="Times New Roman;sans-serif" w:hAnsi="Times New Roman;sans-serif"/>
          <w:b w:val="false"/>
          <w:color w:val="000000"/>
          <w:sz w:val="24"/>
        </w:rPr>
        <w:t>. Each Lender severally agrees, on and subject to the terms and conditions of this Agreement, to make a term loan to the Company in respect of each Aircraft (each, a “</w:t>
      </w:r>
      <w:r>
        <w:rPr>
          <w:rFonts w:ascii="Times New Roman;sans-serif" w:hAnsi="Times New Roman;sans-serif"/>
          <w:b/>
          <w:color w:val="000000"/>
          <w:sz w:val="24"/>
        </w:rPr>
        <w:t>Loan</w:t>
      </w:r>
      <w:r>
        <w:rPr>
          <w:color w:val="000000"/>
        </w:rPr>
        <w:t>”</w:t>
      </w:r>
      <w:r>
        <w:rPr>
          <w:rFonts w:ascii="Times New Roman;sans-serif" w:hAnsi="Times New Roman;sans-serif"/>
          <w:b w:val="false"/>
          <w:color w:val="000000"/>
          <w:sz w:val="24"/>
        </w:rPr>
        <w:t>) on a Business Day (which shall be a U.S. Government Securities Business Day and a business day in Germany) no later than July 31, 2023 in Dollars in a principal amount equal to such Lender’s pro rata share of the Advance Amount for such Aircraft. The Advance Amount for a Loan related to any Aircraft shall not exceed the total Commitment allocable to such Aircraft as specified in Schedule 1. The aggregate amount of Loans made hereunder shall not exceed $119,200,000.</w:t>
      </w:r>
    </w:p>
    <w:p>
      <w:pPr>
        <w:pStyle w:val="TextBody"/>
        <w:spacing w:lineRule="auto" w:line="240" w:before="0" w:after="240"/>
        <w:ind w:left="0" w:right="0" w:firstLine="720"/>
        <w:rPr/>
      </w:pPr>
      <w:bookmarkStart w:id="7" w:name="i8f80cd4713b44eeabaf249dd536c3245_262132"/>
      <w:bookmarkEnd w:id="7"/>
      <w:r>
        <w:rPr>
          <w:rFonts w:ascii="Times New Roman;sans-serif" w:hAnsi="Times New Roman;sans-serif"/>
          <w:b w:val="false"/>
          <w:color w:val="000000"/>
          <w:sz w:val="24"/>
        </w:rPr>
        <w:t>2.02    </w:t>
      </w:r>
      <w:r>
        <w:rPr>
          <w:rFonts w:ascii="Times New Roman;sans-serif" w:hAnsi="Times New Roman;sans-serif"/>
          <w:b w:val="false"/>
          <w:color w:val="000000"/>
          <w:sz w:val="24"/>
          <w:u w:val="single"/>
        </w:rPr>
        <w:t>Borrowing</w:t>
      </w:r>
      <w:r>
        <w:rPr>
          <w:rFonts w:ascii="Times New Roman;sans-serif" w:hAnsi="Times New Roman;sans-serif"/>
          <w:b w:val="false"/>
          <w:color w:val="000000"/>
          <w:sz w:val="24"/>
        </w:rPr>
        <w:t>. The Company shall give the Facility Agent notice of a Borrowing in substantially the form of Exhibit A (the “</w:t>
      </w:r>
      <w:r>
        <w:rPr>
          <w:rFonts w:ascii="Times New Roman;sans-serif" w:hAnsi="Times New Roman;sans-serif"/>
          <w:b/>
          <w:color w:val="000000"/>
          <w:sz w:val="24"/>
        </w:rPr>
        <w:t>Notice of Borrowing</w:t>
      </w:r>
      <w:r>
        <w:rPr>
          <w:color w:val="000000"/>
        </w:rPr>
        <w:t>”</w:t>
      </w:r>
      <w:r>
        <w:rPr>
          <w:rFonts w:ascii="Times New Roman;sans-serif" w:hAnsi="Times New Roman;sans-serif"/>
          <w:b w:val="false"/>
          <w:color w:val="000000"/>
          <w:sz w:val="24"/>
        </w:rPr>
        <w:t>) no later than 11:00 a.m. New York time three Business Days (which shall also be U.S. Government Securities Business Days) prior to the day specified in clause (i) of the Notice of Borrowing. Each Borrowing shall be in the amount of the relevant Advance Amount. Not later than 11:00 a.m. New York time on the relevant Funding Date, each Lender shall make available the amount of its Commitment allocable to such Aircraft for such Borrowing to the Facility Agent (at such account as the Facility Agent may from time to time notify the Lenders for such purpose) in immediately available funds, for the account of the Company. The amount so received by the Facility Agent shall, subject to the terms and conditions of this Agreement, be remitted by the Facility Agent in such manner as is specified in the relevant Notice of Borrowing.</w:t>
      </w:r>
    </w:p>
    <w:p>
      <w:pPr>
        <w:pStyle w:val="TextBody"/>
        <w:spacing w:lineRule="auto" w:line="240" w:before="0" w:after="240"/>
        <w:ind w:left="0" w:right="0" w:firstLine="720"/>
        <w:rPr/>
      </w:pPr>
      <w:bookmarkStart w:id="8" w:name="i8f80cd4713b44eeabaf249dd536c3245_262133"/>
      <w:bookmarkEnd w:id="8"/>
      <w:r>
        <w:rPr>
          <w:rFonts w:ascii="Times New Roman;sans-serif" w:hAnsi="Times New Roman;sans-serif"/>
          <w:b w:val="false"/>
          <w:color w:val="000000"/>
          <w:sz w:val="24"/>
        </w:rPr>
        <w:t>2.03    </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 The Company agrees to pay (a) each Lender the fees in such amounts and at such times as are specified in the Fee Letter, and (b) the Agents the fees in such amounts and at such times as are specified in the Agent Fee Letter.</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28650"/>
                <wp:effectExtent l="0" t="0" r="0" b="0"/>
                <wp:wrapNone/>
                <wp:docPr id="83" name="Frame8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9" w:name="i8f80cd4713b44eeabaf249dd536c3245_262134"/>
      <w:bookmarkEnd w:id="9"/>
      <w:r>
        <w:rPr>
          <w:rFonts w:ascii="Times New Roman;sans-serif" w:hAnsi="Times New Roman;sans-serif"/>
          <w:b w:val="false"/>
          <w:color w:val="000000"/>
          <w:sz w:val="24"/>
        </w:rPr>
        <w:t>2.04    </w:t>
      </w:r>
      <w:r>
        <w:rPr>
          <w:rFonts w:ascii="Times New Roman;sans-serif" w:hAnsi="Times New Roman;sans-serif"/>
          <w:b w:val="false"/>
          <w:color w:val="000000"/>
          <w:sz w:val="24"/>
          <w:u w:val="single"/>
        </w:rPr>
        <w:t>Termination of Commitments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Each Lender’s Commitments shall be automatically reduced upon the funding of a Borrowing in an amount equal to the amount funded by such Lender on the relevant Funding Date.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The aggregate amount of the Commitments shall be automatically reduced to zero on July 31, 2023.</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4"/>
        </w:rPr>
        <w:t xml:space="preserve">(c)    If an Event of Default occurs, the Commitments may (or shall, as the case may be) be terminated as described in Section 9. </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4"/>
        </w:rPr>
        <w:t>(d)    The Commitments once reduced shall terminate and may not be reinstated.</w:t>
      </w:r>
    </w:p>
    <w:p>
      <w:pPr>
        <w:pStyle w:val="TextBody"/>
        <w:spacing w:before="0" w:after="0"/>
        <w:rPr/>
      </w:pPr>
      <w:r>
        <w:rPr/>
      </w:r>
    </w:p>
    <w:p>
      <w:pPr>
        <w:pStyle w:val="TextBody"/>
        <w:spacing w:lineRule="auto" w:line="240" w:before="0" w:after="240"/>
        <w:ind w:left="0" w:right="0" w:firstLine="720"/>
        <w:rPr/>
      </w:pPr>
      <w:bookmarkStart w:id="10" w:name="i8f80cd4713b44eeabaf249dd536c3245_262135"/>
      <w:bookmarkEnd w:id="10"/>
      <w:r>
        <w:rPr>
          <w:rFonts w:ascii="Times New Roman;sans-serif" w:hAnsi="Times New Roman;sans-serif"/>
          <w:b w:val="false"/>
          <w:color w:val="000000"/>
          <w:sz w:val="24"/>
        </w:rPr>
        <w:t>2.05    </w:t>
      </w:r>
      <w:r>
        <w:rPr>
          <w:rFonts w:ascii="Times New Roman;sans-serif" w:hAnsi="Times New Roman;sans-serif"/>
          <w:b w:val="false"/>
          <w:color w:val="000000"/>
          <w:sz w:val="24"/>
          <w:u w:val="single"/>
        </w:rPr>
        <w:t>Several Obligations; Certain Remedies Independent</w:t>
      </w:r>
      <w:r>
        <w:rPr>
          <w:rFonts w:ascii="Times New Roman;sans-serif" w:hAnsi="Times New Roman;sans-serif"/>
          <w:b w:val="false"/>
          <w:color w:val="000000"/>
          <w:sz w:val="24"/>
        </w:rPr>
        <w:t>. The failure of any Lender to make its Loan shall not relieve any other Lender of its obligation to make its Loan, but neither any Lender nor any Agent shall be responsible for the failure of any other Lender to make the Loan to be made by such other Lender, and (except as otherwise provided in Section 4.05) no Lender shall have any obligation to any Agent or any other Lender for the failure by such Lender to make the Loan required to be made by such Lender. The amounts payable by the Company at any time hereunder to each Lender shall be a separate and independent debt, and each Lender shall be entitled to protect and enforce its individual rights arising out of this Agreement and the Notes independently of any other Lender, and it shall not be necessary for any other Lender or any Agent to consent to, or be joined as an additional party in, any proceedings to recover the payment of any overdue amounts.</w:t>
      </w:r>
    </w:p>
    <w:p>
      <w:pPr>
        <w:pStyle w:val="TextBody"/>
        <w:spacing w:lineRule="auto" w:line="240" w:before="0" w:after="240"/>
        <w:ind w:left="0" w:right="0" w:firstLine="720"/>
        <w:rPr/>
      </w:pPr>
      <w:bookmarkStart w:id="11" w:name="i8f80cd4713b44eeabaf249dd536c3245_262136"/>
      <w:bookmarkEnd w:id="11"/>
      <w:r>
        <w:rPr>
          <w:rFonts w:ascii="Times New Roman;sans-serif" w:hAnsi="Times New Roman;sans-serif"/>
          <w:b w:val="false"/>
          <w:color w:val="000000"/>
          <w:sz w:val="24"/>
        </w:rPr>
        <w:t>2.06    </w:t>
      </w:r>
      <w:r>
        <w:rPr>
          <w:rFonts w:ascii="Times New Roman;sans-serif" w:hAnsi="Times New Roman;sans-serif"/>
          <w:b w:val="false"/>
          <w:color w:val="000000"/>
          <w:sz w:val="24"/>
          <w:u w:val="single"/>
        </w:rPr>
        <w:t>Notes</w:t>
      </w:r>
      <w:r>
        <w:rPr>
          <w:rFonts w:ascii="Times New Roman;sans-serif" w:hAnsi="Times New Roman;sans-serif"/>
          <w:b w:val="false"/>
          <w:color w:val="000000"/>
          <w:sz w:val="24"/>
        </w:rPr>
        <w:t>. Promissory notes evidencing the Loan made by any Lender, shall be issued, at the request of any Lender, in form and substance reasonably acceptable to such Lender (each, a “</w:t>
      </w:r>
      <w:r>
        <w:rPr>
          <w:rFonts w:ascii="Times New Roman;sans-serif" w:hAnsi="Times New Roman;sans-serif"/>
          <w:b/>
          <w:color w:val="000000"/>
          <w:sz w:val="24"/>
        </w:rPr>
        <w:t>Note</w:t>
      </w:r>
      <w:r>
        <w:rPr>
          <w:color w:val="000000"/>
        </w:rPr>
        <w:t>”</w:t>
      </w:r>
      <w:r>
        <w:rPr>
          <w:rFonts w:ascii="Times New Roman;sans-serif" w:hAnsi="Times New Roman;sans-serif"/>
          <w:b w:val="false"/>
          <w:color w:val="000000"/>
          <w:sz w:val="24"/>
        </w:rPr>
        <w:t>), payable to the order of such Lender in an amount equal to the outstanding principal amount of such Loan.</w:t>
      </w:r>
    </w:p>
    <w:p>
      <w:pPr>
        <w:pStyle w:val="TextBody"/>
        <w:spacing w:lineRule="auto" w:line="240" w:before="0" w:after="240"/>
        <w:ind w:left="0" w:right="0" w:firstLine="720"/>
        <w:rPr/>
      </w:pPr>
      <w:bookmarkStart w:id="12" w:name="i8f80cd4713b44eeabaf249dd536c3245_262137"/>
      <w:bookmarkEnd w:id="12"/>
      <w:r>
        <w:rPr>
          <w:rFonts w:ascii="Times New Roman;sans-serif" w:hAnsi="Times New Roman;sans-serif"/>
          <w:b/>
          <w:color w:val="000000"/>
          <w:sz w:val="24"/>
        </w:rPr>
        <w:t>Section 3.</w:t>
      </w:r>
      <w:r>
        <w:rPr>
          <w:rFonts w:ascii="Times New Roman;sans-serif" w:hAnsi="Times New Roman;sans-serif"/>
          <w:b w:val="false"/>
          <w:color w:val="000000"/>
          <w:sz w:val="24"/>
          <w:u w:val="single"/>
        </w:rPr>
        <w:t>Payments of Principal and Interest</w:t>
      </w:r>
      <w:r>
        <w:rPr>
          <w:rFonts w:ascii="Times New Roman;sans-serif" w:hAnsi="Times New Roman;sans-serif"/>
          <w:b w:val="false"/>
          <w:color w:val="000000"/>
          <w:sz w:val="24"/>
        </w:rPr>
        <w:t>.</w:t>
      </w:r>
    </w:p>
    <w:p>
      <w:pPr>
        <w:pStyle w:val="TextBody"/>
        <w:spacing w:lineRule="auto" w:line="240" w:before="0" w:after="240"/>
        <w:ind w:left="0" w:right="0" w:firstLine="720"/>
        <w:rPr/>
      </w:pPr>
      <w:bookmarkStart w:id="13" w:name="i8f80cd4713b44eeabaf249dd536c3245_262138"/>
      <w:bookmarkEnd w:id="13"/>
      <w:r>
        <w:rPr>
          <w:rFonts w:ascii="Times New Roman;sans-serif" w:hAnsi="Times New Roman;sans-serif"/>
          <w:b w:val="false"/>
          <w:color w:val="000000"/>
          <w:sz w:val="24"/>
        </w:rPr>
        <w:t>3.01    </w:t>
      </w:r>
      <w:r>
        <w:rPr>
          <w:rFonts w:ascii="Times New Roman;sans-serif" w:hAnsi="Times New Roman;sans-serif"/>
          <w:b w:val="false"/>
          <w:color w:val="000000"/>
          <w:sz w:val="24"/>
          <w:u w:val="single"/>
        </w:rPr>
        <w:t>Repayment</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(a)    Each Loan shall amortize monthly on each relevant Payment Date in accordance with the amortization schedule for such Loan set forth on Schedule 3 (which amortization schedule has been prepared based on a Funding Date for such Loan occurring on or before March 31, 2023);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to the extent the Funding Date for a Loan occurs after March 31, 2023, such Loan shall amortize monthly on each relevant Payment Date in accordance with an updated amortization schedule for such Loan prepared by the Lenders in consultation with the Facility Agent prior to the Funding Date for such Loan on the same basis as the relevant amortization schedule set forth on Schedule 3 (but by reference to the relevant Funding Date) and such updated schedule as so prepared shall be conclusive absent manifest error and shall be provided to the Company and each of the Lenders.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The Company agrees to repay to the Facility Agent for the account of the Lenders the aggregate principal amount of the Loans outstanding as follows:</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(i)    while an Aircraft is subject to the relevant Initial Permitted Lease and no Lease Event of Default has occurred and is continuing under such Initial Permitted Lease, all scheduled rental amounts paid by the relevant Permitted Lessee under such Initial Permitted Lease to the Company will be deposited in the Collections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628650"/>
                <wp:effectExtent l="0" t="0" r="0" b="0"/>
                <wp:wrapNone/>
                <wp:docPr id="84" name="Frame8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Account and applied on each Payment Date in accordance with Section 4.01;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scheduled rental amounts paid by the relevant Permitted Lessee under such Initial Permitted Lease to the Company during the monthly period immediately prior to a Payment Date exceed the principal amount of the relevant Loan due and payable on such Payment Date in accordance with the amortization schedule prepared under Section 3.01(a), Section 3.03(b)(iv) or Section 3.03(d), as the case may be (such excess, the “</w:t>
      </w:r>
      <w:r>
        <w:rPr>
          <w:rFonts w:ascii="Times New Roman;sans-serif" w:hAnsi="Times New Roman;sans-serif"/>
          <w:b/>
          <w:color w:val="000000"/>
          <w:sz w:val="24"/>
        </w:rPr>
        <w:t>Monthly Excess Amount</w:t>
      </w:r>
      <w:r>
        <w:rPr>
          <w:color w:val="000000"/>
        </w:rPr>
        <w:t>”</w:t>
      </w:r>
      <w:r>
        <w:rPr>
          <w:rFonts w:ascii="Times New Roman;sans-serif" w:hAnsi="Times New Roman;sans-serif"/>
          <w:b w:val="false"/>
          <w:color w:val="000000"/>
          <w:sz w:val="24"/>
        </w:rPr>
        <w:t>), on such Payment Date, the Company shall prepay such Loan in an amount equal to such Monthly Excess Amount in accordance with Section 3.03(b)(iv); and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either (i) following the expiration or other early termination of the Initial Permitted Lease in respect of an Aircraft or (ii) on each Payment Date when a Lease Event of Default under such Initial Permitted Lease has occurred and is continuing, the Company shall repay the Loan related to such Aircraft in accordance with the amortization schedule for such Loan pursuant to the priority of payments set forth in Section 4.01.</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4"/>
        </w:rPr>
        <w:t>(c)    Notwithstanding the foregoing, the Loans, together with all other amounts owed hereunder with respect thereto, shall, in any event, be paid in full no later than the Final Maturity Date.</w:t>
      </w:r>
    </w:p>
    <w:p>
      <w:pPr>
        <w:pStyle w:val="TextBody"/>
        <w:spacing w:before="0" w:after="0"/>
        <w:rPr/>
      </w:pPr>
      <w:r>
        <w:rPr/>
      </w:r>
    </w:p>
    <w:p>
      <w:pPr>
        <w:pStyle w:val="TextBody"/>
        <w:spacing w:lineRule="auto" w:line="240" w:before="0" w:after="240"/>
        <w:ind w:left="0" w:right="0" w:firstLine="720"/>
        <w:rPr/>
      </w:pPr>
      <w:bookmarkStart w:id="14" w:name="i8f80cd4713b44eeabaf249dd536c3245_262139"/>
      <w:bookmarkEnd w:id="14"/>
      <w:r>
        <w:rPr>
          <w:rFonts w:ascii="Times New Roman;sans-serif" w:hAnsi="Times New Roman;sans-serif"/>
          <w:b w:val="false"/>
          <w:color w:val="000000"/>
          <w:sz w:val="24"/>
        </w:rPr>
        <w:t>3.02    </w:t>
      </w:r>
      <w:r>
        <w:rPr>
          <w:rFonts w:ascii="Times New Roman;sans-serif" w:hAnsi="Times New Roman;sans-serif"/>
          <w:b w:val="false"/>
          <w:color w:val="000000"/>
          <w:sz w:val="24"/>
          <w:u w:val="single"/>
        </w:rPr>
        <w:t>Interest</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Interest Generally</w:t>
      </w:r>
      <w:r>
        <w:rPr>
          <w:rFonts w:ascii="Times New Roman;sans-serif" w:hAnsi="Times New Roman;sans-serif"/>
          <w:b w:val="false"/>
          <w:color w:val="000000"/>
          <w:sz w:val="24"/>
        </w:rPr>
        <w:t>. The Company agrees to pay to the Facility Agent for the account of each Lender interest on the unpaid principal amount of the Loan of such Lender and other amounts owing hereunder to such Lender for the period from the Funding Date for such Loan until the date such Loan shall be paid in full at a rate per annum equal to Adjusted Term SOFR plus the Applicable Margin, or such higher rate as specified in Section 5.02 or as contemplated in Section 3.02(b).</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Default Interest</w:t>
      </w:r>
      <w:r>
        <w:rPr>
          <w:rFonts w:ascii="Times New Roman;sans-serif" w:hAnsi="Times New Roman;sans-serif"/>
          <w:b w:val="false"/>
          <w:color w:val="000000"/>
          <w:sz w:val="24"/>
        </w:rPr>
        <w:t>. Notwithstanding the foregoing, the Company agrees to pay to the Facility Agent for the account of the Lenders interest at the Past Due Rate on all amounts that are past due and unpaid.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Interest Payment Dates</w:t>
      </w:r>
      <w:r>
        <w:rPr>
          <w:rFonts w:ascii="Times New Roman;sans-serif" w:hAnsi="Times New Roman;sans-serif"/>
          <w:b w:val="false"/>
          <w:color w:val="000000"/>
          <w:sz w:val="24"/>
        </w:rPr>
        <w:t xml:space="preserve">. Accrued interest on each Loan shall be payable on each Payment Date, and upon the payment or prepayment thereof (on the principal amount so paid or prepaid);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interest payable at the Past Due Rate shall be payable from time to time on demand.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Interest Determinations</w:t>
      </w:r>
      <w:r>
        <w:rPr>
          <w:rFonts w:ascii="Times New Roman;sans-serif" w:hAnsi="Times New Roman;sans-serif"/>
          <w:b w:val="false"/>
          <w:color w:val="000000"/>
          <w:sz w:val="24"/>
        </w:rPr>
        <w:t>. Promptly after the determination of any interest rate provided for herein or any change therein, the Facility Agent shall give notice thereof to the Lenders and to the Company. Each determination by the Facility Agent of an interest rate hereunder shall be conclusive and binding for all purposes, absent manifest error.</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Term SOFR Conforming Changes</w:t>
      </w:r>
      <w:r>
        <w:rPr>
          <w:rFonts w:ascii="Times New Roman;sans-serif" w:hAnsi="Times New Roman;sans-serif"/>
          <w:b w:val="false"/>
          <w:color w:val="000000"/>
          <w:sz w:val="24"/>
        </w:rPr>
        <w:t xml:space="preserve">. In connection with the use or administration of Term SOFR, the Facility Agent will have the right to make Conforming Changes from time to time following consultation with the Company and, notwithstanding anything to the contrary herein or in any other Loan Document, any amendments implementing such Conforming Changes will become effective without any further action or consent of any other party to this Agreement or any other Loan Document. The Facility Agent will promptly notify the Company and the Lenders of the effectiveness of any Conforming Changes in connection with the use or administration of Term SOFR.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628650"/>
                <wp:effectExtent l="0" t="0" r="0" b="0"/>
                <wp:wrapNone/>
                <wp:docPr id="85" name="Frame8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ind w:left="0" w:right="0" w:firstLine="720"/>
        <w:rPr/>
      </w:pPr>
      <w:bookmarkStart w:id="15" w:name="i8f80cd4713b44eeabaf249dd536c3245_262140"/>
      <w:bookmarkEnd w:id="15"/>
      <w:r>
        <w:rPr>
          <w:rFonts w:ascii="Times New Roman;sans-serif" w:hAnsi="Times New Roman;sans-serif"/>
          <w:b w:val="false"/>
          <w:color w:val="000000"/>
          <w:sz w:val="24"/>
        </w:rPr>
        <w:t>3.03    </w:t>
      </w:r>
      <w:r>
        <w:rPr>
          <w:rFonts w:ascii="Times New Roman;sans-serif" w:hAnsi="Times New Roman;sans-serif"/>
          <w:b w:val="false"/>
          <w:color w:val="000000"/>
          <w:sz w:val="24"/>
          <w:u w:val="single"/>
        </w:rPr>
        <w:t>Prepayments</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Optional Prepayments</w:t>
      </w:r>
      <w:r>
        <w:rPr>
          <w:rFonts w:ascii="Times New Roman;sans-serif" w:hAnsi="Times New Roman;sans-serif"/>
          <w:b w:val="false"/>
          <w:color w:val="000000"/>
          <w:sz w:val="24"/>
        </w:rPr>
        <w:t xml:space="preserve">. The Company shall have the right, at any time or from time to time, to prepay: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(A)    the Loan of any Affected Lender in whole, without penalty or premium (other than Breakage Costs);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give the Facility Agent notice of any such prepayment as provided in Section 4.04 (and, on the date specified in any such notice, the amount to be prepaid shall become due and payable hereunder); and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(B)    the Loans in whole or in part without penalty or premium (other than Breakage Costs if 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the Company shall give the Facility Agent notice of each prepayment as provided in Section 4.04 (and, upon the date specified in any such notice, the amount to be prepaid shall become due and payable hereunder), and (ii) each partial prepayment shall be in the aggregate amount of $500,000 or an integral multiple thereof.</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Mandatory Prepayments</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(i)    If an Event of Loss with respect to any Aircraft occurs, and the Company elects or is required (by failing to substitute a Replacement Airframe and Replacement Engines) to prepay the relevant Loan, the Company shall prepay, at the time required by the Mortgage, the outstanding principal amount of the Loan related to such Aircraft with accrued interest thereon and any Breakage Costs, but without premium or penalty (other than Breakage Costs);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give the Facility Agent notice of any such prepayment as provided in Section 4.04 (and, on the date specified in any such notice, the amount to be prepaid shall become due and payable hereunder). The Company may elect to deposit the gross proceeds of an insurance settlement in respect of such Event of Loss in the Collections Account for application to the relevant Loan on the immediately subsequent Payment Date in accordance with Section 4.01(a)(iv).</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(ii)    If a Disposition of any Aircraft occurs, the Company shall prepay the outstanding principal amount of the Loan related to such Aircraft with accrued interest thereon and any Breakage Costs, without premium or penalty (other than Breakage Costs), either, at the election of the Company, concurrently with such Disposition or by depositing the gross sales proceeds in respect of such Disposition in the Collections Account for application to the relevant Loan on the immediately subsequent Payment Date in accordance with Section 4.01(a)(iv);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Company shall give the Facility Agent notice of any such prepayment as provided in Section 4.04 (and, on the date specified in any such notice, the amount to be prepaid shall become due and payable hereunder).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(iii)    If an LTV Prepayment Event with respect to any Aircraft occurs, the Company shall partially prepay the Loan related to such Aircraft, and any accrued interest on such Loan, such that such LTV Prepayment Event is no longer continuing. At its election, the Company may utilize any EOL Compensation deposited in the Collections Account in respect of such Aircraft to effect the prepayment contemplated by this Section 3.03(b)(iii). </w: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4"/>
        </w:rPr>
        <w:t xml:space="preserve">(iv)    If on any Payment Date, there is a Monthly Excess Amount in respect of a Loan, the Company shall partially prepay such Loan, and any accrued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628650"/>
                <wp:effectExtent l="0" t="0" r="0" b="0"/>
                <wp:wrapNone/>
                <wp:docPr id="86" name="Frame8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interest thereon and any Breakage Costs, but without premium or penalty (other than Breakage Costs) in accordance with Section 4.01(a)(iv). Such Monthly Excess Amount shall be applied pro rata to the outstanding principal amount of such Loan to reduce each remaining monthly amortization amount for such Loan, and an updated amortization schedule for such Loan shall be finalized by the Facility Agent by inserting Term SOFR for the Interest Period ending on such Payment Date (as well as for each prior Interest Period) into the Excel spreadsheet entitled ”Minimum Amortization Dynamic Model” prepared by MUFG Bank Ltd. prior to the Funding Date for such Loan, all of which shall be done in consultation with and the approval of the Lenders and prepared in accordance with Section 3.01, such schedule as so prepared being conclusive absent manifest error and provided to the Company and each of the Lenders. </w:t>
      </w:r>
    </w:p>
    <w:p>
      <w:pPr>
        <w:pStyle w:val="TextBody"/>
        <w:spacing w:before="0" w:after="0"/>
        <w:rPr/>
      </w:pPr>
      <w:r>
        <w:rPr/>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 Reborrowing</w:t>
      </w:r>
      <w:r>
        <w:rPr>
          <w:rFonts w:ascii="Times New Roman;sans-serif" w:hAnsi="Times New Roman;sans-serif"/>
          <w:b w:val="false"/>
          <w:color w:val="000000"/>
          <w:sz w:val="24"/>
        </w:rPr>
        <w:t>. Amounts prepaid may not be reborrowed.</w:t>
      </w:r>
    </w:p>
    <w:p>
      <w:pPr>
        <w:pStyle w:val="TextBody"/>
        <w:spacing w:before="0" w:after="0"/>
        <w:ind w:left="0" w:right="0" w:firstLine="720"/>
        <w:rPr/>
      </w:pPr>
      <w:r>
        <w:rPr/>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Applications; Other Amounts</w:t>
      </w:r>
      <w:r>
        <w:rPr>
          <w:rFonts w:ascii="Times New Roman;sans-serif" w:hAnsi="Times New Roman;sans-serif"/>
          <w:b w:val="false"/>
          <w:color w:val="000000"/>
          <w:sz w:val="24"/>
        </w:rPr>
        <w:t xml:space="preserve">. All prepayments under Section 3.03(a) shall be applied pro rata to repayment of the Loans allocable to the related Aircraft and, if applicable under Section 3.01, shall reduce the scheduled amortization payments for the Loans in respect of such Aircraft on a pro rata basis and an updated amortization schedule for each Loan shall be prepared by the Lenders in consultation with the Facility Agent promptly following the relevant prepayment (such schedule as so prepared being conclusive absent manifest error and provided to the Company and each of the Lenders). All prepayments shall be accompanied by interest accrued on the amount prepaid and all Breakage Costs (if any) payable under Section 5.04 as a result of such prepayment. </w:t>
      </w:r>
    </w:p>
    <w:p>
      <w:pPr>
        <w:pStyle w:val="TextBody"/>
        <w:spacing w:lineRule="auto" w:line="240" w:before="0" w:after="240"/>
        <w:ind w:left="0" w:right="0" w:firstLine="720"/>
        <w:rPr/>
      </w:pPr>
      <w:bookmarkStart w:id="16" w:name="i8f80cd4713b44eeabaf249dd536c3245_262141"/>
      <w:bookmarkEnd w:id="16"/>
      <w:r>
        <w:rPr>
          <w:rFonts w:ascii="Times New Roman;sans-serif" w:hAnsi="Times New Roman;sans-serif"/>
          <w:b/>
          <w:color w:val="000000"/>
          <w:sz w:val="24"/>
        </w:rPr>
        <w:t>Section 4.</w:t>
      </w:r>
      <w:r>
        <w:rPr>
          <w:rFonts w:ascii="Times New Roman;sans-serif" w:hAnsi="Times New Roman;sans-serif"/>
          <w:b w:val="false"/>
          <w:color w:val="000000"/>
          <w:sz w:val="24"/>
          <w:u w:val="single"/>
        </w:rPr>
        <w:t>Payments, Etc.</w:t>
      </w:r>
    </w:p>
    <w:p>
      <w:pPr>
        <w:pStyle w:val="TextBody"/>
        <w:spacing w:lineRule="auto" w:line="240" w:before="0" w:after="240"/>
        <w:ind w:left="0" w:right="0" w:firstLine="720"/>
        <w:rPr/>
      </w:pPr>
      <w:bookmarkStart w:id="17" w:name="i8f80cd4713b44eeabaf249dd536c3245_262142"/>
      <w:bookmarkEnd w:id="17"/>
      <w:r>
        <w:rPr>
          <w:rFonts w:ascii="Times New Roman;sans-serif" w:hAnsi="Times New Roman;sans-serif"/>
          <w:b w:val="false"/>
          <w:color w:val="000000"/>
          <w:sz w:val="24"/>
        </w:rPr>
        <w:t>4.01    </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Payments Generally</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Each payment of principal, interest and other amounts to be made by the Company under this Agreement and the other Loan Documents shall be made in Dollars, in immediately available funds, without deduction, set-off or counterclaim (except Taxes, which are the subject of Section 5.05 hereof), to the Collections Account not later than 11:00 a.m. New York time on the date on which such payment shall become due (each such payment made after such time on such due date to be deemed to have been made on the next succeeding Business Day).</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(ii)    All payments made by a Permitted Lessee under the relevant Permitted Lease, including in respect of any EOL Compensation, Maintenance Reserves and Security Deposits (in each case including amounts drawn under any Letter of Credit), shall be made to the Collections Account and the Company agrees that it shall take all reasonable action as the Facility Agent may request to ensure that such amounts are paid into the Collections Account and, without prejudice to the generality of the foregoing, the Company agrees that it shall give or shall cause to be given irrevocable instructions to such Permitted Lessee to pay all amounts which are payable by such Permitted Lessee to the Company under or pursuant to such Permitted Lease to the Collections Account. If the Company shall receive from such Permitted Lessee any amounts payable under such Permitted Lease, the Company shall receive such payment in trust for the Security Trustee on behalf of the Lenders and the Facility Agent and subject to the Security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628650"/>
                <wp:effectExtent l="0" t="0" r="0" b="0"/>
                <wp:wrapNone/>
                <wp:docPr id="87" name="Frame8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Trustee’s security interest, and shall immediately transfer, or cause to be transferred, such payment in the Collections Account. Any EOL Compensation, Maintenance Reserves and Security Deposits standing to the credit of the Collections Account shall be held in the Collections Account and applied only in accordance with the terms of this Agreement and the Mortgage.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To the extent any Maintenance Reserves or Security Deposits payable to the Company under a Permitted Lease are paid in cash, such Maintenance Reserves and/or Security Deposits shall be paid into and held in the Collections Account in accordance with the terms of such Permitted Lease, this Agreement and the Mortgage. Unless an Event of Default has occurred and is continuing, at the written request of the Company and to the extent any Maintenance Reserves and/or Security Deposits attributable to such Permitted Lease are available in the Collections Account, the Account Bank shall pay to the applicable Permitted Lessee such Security Deposit and Maintenance Reserve returns required by such Permitted Lease as directed by the Company. During the continuance of an Event of Default, the Security Trustee (acting at the direction of the Majority Lenders) shall be permitted to apply any or all funds in the Collections Account towards satisfaction of the Obligations.</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(iv)    Subject to Section 4.01(b), on each Payment Date, the Account Bank shall distribute the amounts standing to the credit of the Collections Account (other than any EOL Compensation, Maintenance Reserves and Security Deposits) in the following order of priority:</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w:t>
      </w:r>
      <w:r>
        <w:rPr>
          <w:color w:val="000000"/>
        </w:rPr>
        <w:t>    </w:t>
      </w:r>
      <w:r>
        <w:rPr>
          <w:rFonts w:ascii="Times New Roman;sans-serif" w:hAnsi="Times New Roman;sans-serif"/>
          <w:b w:val="false"/>
          <w:i/>
          <w:color w:val="000000"/>
          <w:sz w:val="24"/>
        </w:rPr>
        <w:t>First</w:t>
      </w:r>
      <w:r>
        <w:rPr>
          <w:rFonts w:ascii="Times New Roman;sans-serif" w:hAnsi="Times New Roman;sans-serif"/>
          <w:b w:val="false"/>
          <w:color w:val="000000"/>
          <w:sz w:val="24"/>
        </w:rPr>
        <w:t>, so much of such amounts as shall be required to pay or reimburse (x) any Lender and/or any Agent for any fees, costs, expenses, indemnities or indemnifiable losses incurred by or on behalf of or payable to such Lender or such Agent on or prior to such Payment Date and (y) the Servicer for the Servicing Fee due and payable on such Payment Date; and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w:t>
      </w:r>
      <w:r>
        <w:rPr>
          <w:color w:val="000000"/>
        </w:rPr>
        <w:t>    </w:t>
      </w:r>
      <w:r>
        <w:rPr>
          <w:rFonts w:ascii="Times New Roman;sans-serif" w:hAnsi="Times New Roman;sans-serif"/>
          <w:b w:val="false"/>
          <w:i/>
          <w:color w:val="000000"/>
          <w:sz w:val="24"/>
        </w:rPr>
        <w:t xml:space="preserve">Second,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1.    while an Aircraft is subject to an Initial Permitted Lease and no Lease Event of Default has occurred and is continuing under such Initial Permitted Lease, so much of such amounts remaining in the Collections Account to repay in full, </w:t>
      </w:r>
      <w:r>
        <w:rPr>
          <w:rFonts w:ascii="Times New Roman;sans-serif" w:hAnsi="Times New Roman;sans-serif"/>
          <w:b w:val="false"/>
          <w:i/>
          <w:color w:val="000000"/>
          <w:sz w:val="24"/>
        </w:rPr>
        <w:t xml:space="preserve">first, </w:t>
      </w:r>
      <w:r>
        <w:rPr>
          <w:rFonts w:ascii="Times New Roman;sans-serif" w:hAnsi="Times New Roman;sans-serif"/>
          <w:b w:val="false"/>
          <w:color w:val="000000"/>
          <w:sz w:val="24"/>
        </w:rPr>
        <w:t xml:space="preserve">interest on the Loan related to such Aircraft then due under this Agreement and any Breakage Costs due and owing in respect of such Loan (including in respect of any prepayment of such Loan under Section 3.03(b)(iv)), </w:t>
      </w:r>
      <w:r>
        <w:rPr>
          <w:rFonts w:ascii="Times New Roman;sans-serif" w:hAnsi="Times New Roman;sans-serif"/>
          <w:b w:val="false"/>
          <w:i/>
          <w:color w:val="000000"/>
          <w:sz w:val="24"/>
        </w:rPr>
        <w:t>second,</w:t>
      </w:r>
      <w:r>
        <w:rPr>
          <w:color w:val="000000"/>
        </w:rPr>
        <w:t> </w:t>
      </w:r>
      <w:r>
        <w:rPr>
          <w:rFonts w:ascii="Times New Roman;sans-serif" w:hAnsi="Times New Roman;sans-serif"/>
          <w:b w:val="false"/>
          <w:color w:val="000000"/>
          <w:sz w:val="24"/>
        </w:rPr>
        <w:t xml:space="preserve">the scheduled monthly amortization amount of such Loan then due under this Agreement, in each case on a pro rata basis to the Lenders and, </w:t>
      </w:r>
      <w:r>
        <w:rPr>
          <w:rFonts w:ascii="Times New Roman;sans-serif" w:hAnsi="Times New Roman;sans-serif"/>
          <w:b w:val="false"/>
          <w:i/>
          <w:color w:val="000000"/>
          <w:sz w:val="24"/>
        </w:rPr>
        <w:t>third,</w:t>
      </w:r>
      <w:r>
        <w:rPr>
          <w:color w:val="000000"/>
        </w:rPr>
        <w:t> </w:t>
      </w:r>
      <w:r>
        <w:rPr>
          <w:rFonts w:ascii="Times New Roman;sans-serif" w:hAnsi="Times New Roman;sans-serif"/>
          <w:b w:val="false"/>
          <w:color w:val="000000"/>
          <w:sz w:val="24"/>
        </w:rPr>
        <w:t xml:space="preserve">if applicable on such Payment Date, the portion of such Loan to be prepaid under Section 3.03(b)(iv); and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2.    either (i) following the expiration or other early termination of the Initial Permitted Lease in respect of an Aircraft or (ii) when a Lease Event of Default under such Initial Permitted Lease has occurred and is continuing, so much of such amounts as shall be required to pay in full, </w:t>
      </w:r>
      <w:r>
        <w:rPr>
          <w:rFonts w:ascii="Times New Roman;sans-serif" w:hAnsi="Times New Roman;sans-serif"/>
          <w:b w:val="false"/>
          <w:i/>
          <w:color w:val="000000"/>
          <w:sz w:val="24"/>
        </w:rPr>
        <w:t>first,</w:t>
      </w:r>
      <w:r>
        <w:rPr>
          <w:color w:val="000000"/>
        </w:rPr>
        <w:t> </w:t>
      </w:r>
      <w:r>
        <w:rPr>
          <w:rFonts w:ascii="Times New Roman;sans-serif" w:hAnsi="Times New Roman;sans-serif"/>
          <w:b w:val="false"/>
          <w:color w:val="000000"/>
          <w:sz w:val="24"/>
        </w:rPr>
        <w:t xml:space="preserve">interest on the Loan related to such Aircraft then due under this Agreement and any Breakage Costs due and owing in respect of such Loan, </w:t>
      </w:r>
      <w:r>
        <w:rPr>
          <w:rFonts w:ascii="Times New Roman;sans-serif" w:hAnsi="Times New Roman;sans-serif"/>
          <w:b w:val="false"/>
          <w:i/>
          <w:color w:val="000000"/>
          <w:sz w:val="24"/>
        </w:rPr>
        <w:t>second,</w:t>
      </w:r>
      <w:r>
        <w:rPr>
          <w:color w:val="000000"/>
        </w:rPr>
        <w:t> </w:t>
      </w:r>
      <w:r>
        <w:rPr>
          <w:rFonts w:ascii="Times New Roman;sans-serif" w:hAnsi="Times New Roman;sans-serif"/>
          <w:b w:val="false"/>
          <w:color w:val="000000"/>
          <w:sz w:val="24"/>
        </w:rPr>
        <w:t xml:space="preserve">any Breakage Costs due and owing in respect of such Loan, </w:t>
      </w:r>
      <w:r>
        <w:rPr>
          <w:rFonts w:ascii="Times New Roman;sans-serif" w:hAnsi="Times New Roman;sans-serif"/>
          <w:b w:val="false"/>
          <w:i/>
          <w:color w:val="000000"/>
          <w:sz w:val="24"/>
        </w:rPr>
        <w:t>third,</w:t>
      </w:r>
      <w:r>
        <w:rPr>
          <w:color w:val="000000"/>
        </w:rPr>
        <w:t xml:space="preserve">  </w:t>
      </w:r>
      <w:r>
        <w:rPr>
          <w:rFonts w:ascii="Times New Roman;sans-serif" w:hAnsi="Times New Roman;sans-serif"/>
          <w:b w:val="false"/>
          <w:color w:val="000000"/>
          <w:sz w:val="24"/>
        </w:rPr>
        <w:t xml:space="preserve">the scheduled monthly amortization amount of such Loan then due under this Agreement, in each case on a pro rata basis to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628650"/>
                <wp:effectExtent l="0" t="0" r="0" b="0"/>
                <wp:wrapNone/>
                <wp:docPr id="88" name="Frame8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Lenders, </w:t>
      </w:r>
      <w:r>
        <w:rPr>
          <w:rFonts w:ascii="Times New Roman;sans-serif" w:hAnsi="Times New Roman;sans-serif"/>
          <w:b w:val="false"/>
          <w:i/>
          <w:color w:val="000000"/>
          <w:sz w:val="24"/>
        </w:rPr>
        <w:t>fourth</w:t>
      </w:r>
      <w:r>
        <w:rPr>
          <w:color w:val="000000"/>
        </w:rPr>
        <w:t> </w:t>
      </w:r>
      <w:r>
        <w:rPr>
          <w:rFonts w:ascii="Times New Roman;sans-serif" w:hAnsi="Times New Roman;sans-serif"/>
          <w:b w:val="false"/>
          <w:color w:val="000000"/>
          <w:sz w:val="24"/>
        </w:rPr>
        <w:t xml:space="preserve">any other amounts due and owing in respect of such Loan, and </w:t>
      </w:r>
      <w:r>
        <w:rPr>
          <w:rFonts w:ascii="Times New Roman;sans-serif" w:hAnsi="Times New Roman;sans-serif"/>
          <w:b w:val="false"/>
          <w:i/>
          <w:color w:val="000000"/>
          <w:sz w:val="24"/>
        </w:rPr>
        <w:t>fifth</w:t>
      </w:r>
      <w:r>
        <w:rPr>
          <w:color w:val="000000"/>
        </w:rPr>
        <w:t xml:space="preserve"> </w:t>
      </w:r>
      <w:r>
        <w:rPr>
          <w:rFonts w:ascii="Times New Roman;sans-serif" w:hAnsi="Times New Roman;sans-serif"/>
          <w:b w:val="false"/>
          <w:color w:val="000000"/>
          <w:sz w:val="24"/>
        </w:rPr>
        <w:t>the balance, if any, to the Company.</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(v)    Notwithstanding anything to the contrary set forth in this Section 4.01, to the extent a mandatory prepayment of a Loan related to an Aircraft is made with respect to a Disposition of such Aircraft under Section 3.03(b)(ii) on a Payment Date, the prepayment amount with respect to such Loan standing to the credit of the Collections Account shall be applied by the Account Bank to repay such Loan in full prior to the Account Bank applying the remaining amounts standing to the credit of the Collections Account in accordance with Section 4.01(a)(iv).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(vi)    Notwithstanding anything to the contrary set forth in this Section 4.01, (a) to the extent a mandatory prepayment of a Loan related to an Aircraft is made with respect to an LTV Prepayment Event under Section 3.03(b)(iii) on a Payment Date, the EOL Compensation with respect to such Aircraft standing to the credit of the Collections Account shall be applied by the Account Bank to prepay such Loan in the amount required pursuant to Section 3.03(b)(iii) and (b) following the prepayment of a Loan related to an Aircraft contemplated by Section 3.03(b)(iii), so long as no Event of Default has occurred and is continuing, any remaining amounts of EOL Compensation in respect of such Aircraft standing to the credit of the Collections Account may, at the request of the Company, be transferred by the Account Bank to, or at the direction of, the Company.</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Application of Payments After Event of Default</w:t>
      </w:r>
      <w:r>
        <w:rPr>
          <w:rFonts w:ascii="Times New Roman;sans-serif" w:hAnsi="Times New Roman;sans-serif"/>
          <w:b w:val="false"/>
          <w:color w:val="000000"/>
          <w:sz w:val="24"/>
        </w:rPr>
        <w:t>. Subject to Section 4.01(a)(iii), all payments received from the Company or otherwise on account of the Obligations and amounts held or realized by the Security Trustee (including any amounts realized by the Security Trustee from the exercise of any remedies pursuant to Article IV of the Mortgage or any other Security Document), in each case after an Event of Default shall have occurred and be continuing, as well as all payments or amounts then held by the Security Trustee as part of the Collateral, shall be promptly distributed by the Security Trustee in accordance with the following:</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    First: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so much of such payments or amounts as shall be required to reimburse the Agents for any tax, expense or other loss (including, without limitation, all amounts to be expended at the expense of, or charged upon the rents, revenues, issues, products and profits of, the property included in the Collateral) incurred by the Agents (to the extent not previously reimbursed), the expenses of any sale, or other proceeding, attorneys’ fees and expenses, court costs, and any other expenditures incurred or expenditures or advances made by the Agents or any other Secured Party in the protection, exercise or enforcement of any right, power or remedy upon such Event of Default to the extent such Agent or such Secured Party is entitled to reimbursement under any Operative Document shall be applied by the Security Trustee as between itself and the Secured Parties in reimbursement of such expenses and any other expenses for which the Security Trustee or the Secured Parties are entitled to reimbursement under any Operative Document, and in the case the aggregate amount to be so distributed is insufficient to pay as aforesaid, then ratably, without priority of one over the other, in proportion to the amounts owed each of them hereunder; and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(B)    after giving effect to paragraph (A) above, so much of such payments or amounts remaining as shall be required to pay in full the aggregate unpaid principal of all Loans, and the accrued but unpaid interest thereon,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628650"/>
                <wp:effectExtent l="0" t="0" r="0" b="0"/>
                <wp:wrapNone/>
                <wp:docPr id="89" name="Frame8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Breakage Costs, if any, with respect to the Loans and all other amounts then due, shall be distributed to the Lenders, and in case the aggregate amount so to be distributed shall be insufficient to pay in full as aforesaid, then ratably, without priority of one over the other, in the proportion that the aggregate unpaid principal of all Loans held by each Lender plus the accrued but unpaid interest thereon, Breakage Costs, if any, and other amounts then due bears to the aggregate unpaid principal of all Loans held by all such Lenders, plus the accrued but unpaid interest, Breakage Costs, if any, and other amounts then due; and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Second, the balance, if any, of such payments or amounts remaining thereafter shall be distributed to the Company.</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Payments by Facility Agent to Lenders</w:t>
      </w:r>
      <w:r>
        <w:rPr>
          <w:rFonts w:ascii="Times New Roman;sans-serif" w:hAnsi="Times New Roman;sans-serif"/>
          <w:b w:val="false"/>
          <w:color w:val="000000"/>
          <w:sz w:val="24"/>
        </w:rPr>
        <w:t>. Each payment received by the Facility Agent under this Agreement for the account of any Lender shall be paid by the Facility Agent promptly to such Lender, in the same funds as received, for the account of such Lender’s Applicable Lending Office.</w:t>
      </w:r>
    </w:p>
    <w:p>
      <w:pPr>
        <w:pStyle w:val="TextBody"/>
        <w:spacing w:lineRule="auto" w:line="240" w:before="0" w:after="240"/>
        <w:ind w:left="0" w:right="0" w:firstLine="720"/>
        <w:rPr/>
      </w:pPr>
      <w:bookmarkStart w:id="18" w:name="i8f80cd4713b44eeabaf249dd536c3245_262143"/>
      <w:bookmarkEnd w:id="18"/>
      <w:r>
        <w:rPr>
          <w:rFonts w:ascii="Times New Roman;sans-serif" w:hAnsi="Times New Roman;sans-serif"/>
          <w:b w:val="false"/>
          <w:color w:val="000000"/>
          <w:sz w:val="24"/>
        </w:rPr>
        <w:t>4.02    </w:t>
      </w:r>
      <w:r>
        <w:rPr>
          <w:rFonts w:ascii="Times New Roman;sans-serif" w:hAnsi="Times New Roman;sans-serif"/>
          <w:b w:val="false"/>
          <w:color w:val="000000"/>
          <w:sz w:val="24"/>
          <w:u w:val="single"/>
        </w:rPr>
        <w:t>Pro Rata Treatment</w:t>
      </w:r>
      <w:r>
        <w:rPr>
          <w:rFonts w:ascii="Times New Roman;sans-serif" w:hAnsi="Times New Roman;sans-serif"/>
          <w:b w:val="false"/>
          <w:color w:val="000000"/>
          <w:sz w:val="24"/>
        </w:rPr>
        <w:t xml:space="preserve">. Except to the extent otherwise expressly provided herein (including without limitation, Section 3.03(a)(A) hereof), (a) each payment or prepayment of principal of the Loans shall be made for account of the Lenders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in accordance with the respective unpaid principal amounts of the Loans held by them; and (b) each payment of interest on the Loans and fees hereunder shall be made for account of the Lenders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in accordance with the respective amounts of interest on the Loans or fees hereunder, as applicable, then due and payable to them.</w:t>
      </w:r>
    </w:p>
    <w:p>
      <w:pPr>
        <w:pStyle w:val="TextBody"/>
        <w:spacing w:lineRule="auto" w:line="240" w:before="0" w:after="240"/>
        <w:ind w:left="0" w:right="0" w:firstLine="720"/>
        <w:rPr/>
      </w:pPr>
      <w:bookmarkStart w:id="19" w:name="i8f80cd4713b44eeabaf249dd536c3245_262144"/>
      <w:bookmarkEnd w:id="19"/>
      <w:r>
        <w:rPr>
          <w:rFonts w:ascii="Times New Roman;sans-serif" w:hAnsi="Times New Roman;sans-serif"/>
          <w:b w:val="false"/>
          <w:color w:val="000000"/>
          <w:sz w:val="24"/>
        </w:rPr>
        <w:t>4.03    </w:t>
      </w:r>
      <w:r>
        <w:rPr>
          <w:rFonts w:ascii="Times New Roman;sans-serif" w:hAnsi="Times New Roman;sans-serif"/>
          <w:b w:val="false"/>
          <w:color w:val="000000"/>
          <w:sz w:val="24"/>
          <w:u w:val="single"/>
        </w:rPr>
        <w:t>Computations</w:t>
      </w:r>
      <w:r>
        <w:rPr>
          <w:rFonts w:ascii="Times New Roman;sans-serif" w:hAnsi="Times New Roman;sans-serif"/>
          <w:b w:val="false"/>
          <w:color w:val="000000"/>
          <w:sz w:val="24"/>
        </w:rPr>
        <w:t>. Interest on the Loans (including interest accruing at the Past Due Rate) shall be computed on the basis of a year of 360 days and actual days elapsed.</w:t>
      </w:r>
    </w:p>
    <w:p>
      <w:pPr>
        <w:pStyle w:val="TextBody"/>
        <w:spacing w:lineRule="auto" w:line="240" w:before="0" w:after="240"/>
        <w:ind w:left="0" w:right="0" w:firstLine="720"/>
        <w:rPr/>
      </w:pPr>
      <w:bookmarkStart w:id="20" w:name="i8f80cd4713b44eeabaf249dd536c3245_262145"/>
      <w:bookmarkEnd w:id="20"/>
      <w:r>
        <w:rPr>
          <w:rFonts w:ascii="Times New Roman;sans-serif" w:hAnsi="Times New Roman;sans-serif"/>
          <w:b w:val="false"/>
          <w:color w:val="000000"/>
          <w:sz w:val="24"/>
        </w:rPr>
        <w:t>4.04    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Each notice of prepayment shall be effective only if received by the Facility Agent not later than 11:00 a.m. New York time on the date three Business Days (which shall also be U.S. Government Securities Business Days) prior to the date of prepayment. The Notice of Borrowing shall specify the amount to be borrowed, the Aircraft subject to such Borrowing and the proposed Funding Date, and each notice of optional prepayment shall specify the amount to be prepaid and the date of prepayment. The Facility Agent shall promptly notify the Lenders of the contents of each such notice, and in the case of the Notice of Borrowing, no later than 3 p.m. New York time, three Business Days (which shall also be U.S. Government Securities Business Days) prior to the relevant Funding Date.</w:t>
      </w:r>
    </w:p>
    <w:p>
      <w:pPr>
        <w:pStyle w:val="TextBody"/>
        <w:spacing w:lineRule="auto" w:line="240" w:before="0" w:after="240"/>
        <w:ind w:left="0" w:right="0" w:firstLine="720"/>
        <w:rPr/>
      </w:pPr>
      <w:bookmarkStart w:id="21" w:name="i8f80cd4713b44eeabaf249dd536c3245_262146"/>
      <w:bookmarkEnd w:id="21"/>
      <w:r>
        <w:rPr>
          <w:rFonts w:ascii="Times New Roman;sans-serif" w:hAnsi="Times New Roman;sans-serif"/>
          <w:b w:val="false"/>
          <w:color w:val="000000"/>
          <w:sz w:val="24"/>
        </w:rPr>
        <w:t>4.05    </w:t>
      </w:r>
      <w:r>
        <w:rPr>
          <w:rFonts w:ascii="Times New Roman;sans-serif" w:hAnsi="Times New Roman;sans-serif"/>
          <w:b w:val="false"/>
          <w:color w:val="000000"/>
          <w:sz w:val="24"/>
          <w:u w:val="single"/>
        </w:rPr>
        <w:t>Non-Receipt of Funds by the Facility Agent</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Funding By Lenders</w:t>
      </w:r>
      <w:r>
        <w:rPr>
          <w:rFonts w:ascii="Times New Roman;sans-serif" w:hAnsi="Times New Roman;sans-serif"/>
          <w:b w:val="false"/>
          <w:color w:val="000000"/>
          <w:sz w:val="24"/>
        </w:rPr>
        <w:t>. Unless the Facility Agent shall have received notice from a Lender prior to the proposed time of a Borrowing that such Lender will not make available to the Facility Agent such Lender’s share of such Borrowing, the Facility Agent may assume that such Lender has made such share available at such time in accordance with Section 2.02 and may, in reliance upon such assumption, make available to the Company a corresponding amount. In such event, if a Lender has not in fact made its share of such Borrowing available to the Facility Agent, then the applicable Lender agrees to pay to the Facility Agent forthwith on demand such corresponding amount with interest thereon, for each day from the date such amount is made available to the Company until the date of payment to the Facility Agent, at the greater of the Federal Funds Rate and a rate determined by the Facility Agent in accordance with banking industry rules on interbank compensation. If such Lender pays its share of such Borrowing to the Facility Agent, then the amount so paid shall constitute such Lender’s Loan included in such Borrowing.</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628650"/>
                <wp:effectExtent l="0" t="0" r="0" b="0"/>
                <wp:wrapNone/>
                <wp:docPr id="90" name="Frame8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Payments by Company</w:t>
      </w:r>
      <w:r>
        <w:rPr>
          <w:rFonts w:ascii="Times New Roman;sans-serif" w:hAnsi="Times New Roman;sans-serif"/>
          <w:b w:val="false"/>
          <w:color w:val="000000"/>
          <w:sz w:val="24"/>
        </w:rPr>
        <w:t>. Unless the Facility Agent shall have received notice from the Company prior to the date on which any payment is due to the Facility Agent for the account of the Lenders hereunder that the Company will not make such payment, the Facility Agent may assume that the Company has made such payment on such date in accordance herewith and may, in reliance upon such assumption, distribute to the Lenders the amount due. In such event, if the Company has not in fact made such payment, then each of the Lenders severally agrees to repay to the Facility Agent forthwith on demand the amount so distributed to such Lender with interest thereon, for each day from the date such amount is distributed to it until the date of payment to the Facility Agent, at the greater of the Federal Funds Rate and a rate determined by the Facility Agent in accordance with banking industry rules on interbank compensation.</w:t>
      </w:r>
    </w:p>
    <w:p>
      <w:pPr>
        <w:pStyle w:val="TextBody"/>
        <w:spacing w:lineRule="auto" w:line="240" w:before="0" w:after="240"/>
        <w:ind w:left="0" w:right="0" w:firstLine="720"/>
        <w:rPr/>
      </w:pPr>
      <w:bookmarkStart w:id="22" w:name="i8f80cd4713b44eeabaf249dd536c3245_262147"/>
      <w:bookmarkEnd w:id="22"/>
      <w:r>
        <w:rPr>
          <w:rFonts w:ascii="Times New Roman;sans-serif" w:hAnsi="Times New Roman;sans-serif"/>
          <w:b w:val="false"/>
          <w:color w:val="000000"/>
          <w:sz w:val="24"/>
        </w:rPr>
        <w:t>4.06    </w:t>
      </w:r>
      <w:r>
        <w:rPr>
          <w:rFonts w:ascii="Times New Roman;sans-serif" w:hAnsi="Times New Roman;sans-serif"/>
          <w:b w:val="false"/>
          <w:color w:val="000000"/>
          <w:sz w:val="24"/>
          <w:u w:val="single"/>
        </w:rPr>
        <w:t>Set-Off; Sharing of Payments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Set-Off Generally</w:t>
      </w:r>
      <w:r>
        <w:rPr>
          <w:rFonts w:ascii="Times New Roman;sans-serif" w:hAnsi="Times New Roman;sans-serif"/>
          <w:b w:val="false"/>
          <w:color w:val="000000"/>
          <w:sz w:val="24"/>
        </w:rPr>
        <w:t xml:space="preserve">. Upon the occurrence and during the continuance of any Event of Default, each Lender and each of its Affiliates is hereby authorized at any time and from time to time, to the fullest extent permitted by applicable law, to set off and apply any and all deposits (general or special, time or demand, provisional or final, in whatever currency) at any time held and any and all other indebtedness at any time owing by such Lender or such Affiliate to or for the credit or the account of the Company against any and all of the obligations of the Company now or hereafter existing under this Agreement or any other Operative Document to such Lender, irrespective of whether or not such Lender shall have made any demand under this Agreement or any other Operative Document and although such obligations of the Company may be contingent or unmatured or are owed to a branch or office of such Lender different from the branch or office holding such deposit or obligated on such indebtedness. Each Lender agrees promptly to notify the Company after any such set-off and application,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failure to give such notice shall not affect the validity of such set-off and application. The rights of each Lender and its Affiliates under this Section 4.06(a) are in addition to other rights and remedies (including other rights of set-off) that such Lender and its Affiliates may have.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Sharing Among Lenders</w:t>
      </w:r>
      <w:r>
        <w:rPr>
          <w:rFonts w:ascii="Times New Roman;sans-serif" w:hAnsi="Times New Roman;sans-serif"/>
          <w:b w:val="false"/>
          <w:color w:val="000000"/>
          <w:sz w:val="24"/>
        </w:rPr>
        <w:t xml:space="preserve">. If any Lender shall, by exercising any right of setoff or counterclaim or otherwise, obtain payment in respect of any principal of or interest on its Loan or other obligations hereunder resulting in such Lender receiving payment of a proportion of the amount of its Loan and accrued interest thereon or other such obligations greater than its pro rata share thereof as provided herein, then the Lender receiving such greater proportion shall (i) notify the Agents of such fact, and (ii)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(x)    if any such participations are purchased and all or any portion of the payment giving rise thereto is recovered, such participations shall be rescinded and the purchase price restored to the extent of such recovery, without interest; and</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(y)    the provisions of this subsection shall not be construed to apply to (I) any payment made by the Company pursuant to and in accordance with the express terms of this Agreement or (II) any payment obtained by a Lender as consideration for the assignment of or sale of a participation in its Loan to an assignee or Participant, other than to the Company or any Affiliate thereof (as to which the provisions of this subsection shall apply).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628650"/>
                <wp:effectExtent l="0" t="0" r="0" b="0"/>
                <wp:wrapNone/>
                <wp:docPr id="91" name="Frame9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Company consents to the foregoing and agrees, to the extent it may effectively do so under applicable law, that any Lender acquiring a participation pursuant to the foregoing arrangements may exercise against the Company rights of setoff and counterclaim with respect to such participation as fully as if such Lender were a direct creditor of the Company in the amount of such participation.</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Exercise of Rights Not Required</w:t>
      </w:r>
      <w:r>
        <w:rPr>
          <w:rFonts w:ascii="Times New Roman;sans-serif" w:hAnsi="Times New Roman;sans-serif"/>
          <w:b w:val="false"/>
          <w:color w:val="000000"/>
          <w:sz w:val="24"/>
        </w:rPr>
        <w:t>. Nothing contained herein shall require any Lender to exercise any such right or shall affect the right of any Lender to exercise, and retain the benefits of exercising, any such right with respect to any other indebtedness or obligation of the Company.</w:t>
      </w:r>
    </w:p>
    <w:p>
      <w:pPr>
        <w:pStyle w:val="TextBody"/>
        <w:spacing w:lineRule="auto" w:line="240" w:before="0" w:after="240"/>
        <w:ind w:left="0" w:right="0" w:firstLine="720"/>
        <w:rPr/>
      </w:pPr>
      <w:bookmarkStart w:id="23" w:name="i8f80cd4713b44eeabaf249dd536c3245_262148"/>
      <w:bookmarkEnd w:id="23"/>
      <w:r>
        <w:rPr>
          <w:rFonts w:ascii="Times New Roman;sans-serif" w:hAnsi="Times New Roman;sans-serif"/>
          <w:b/>
          <w:color w:val="000000"/>
          <w:sz w:val="24"/>
        </w:rPr>
        <w:t>Section 5.</w:t>
      </w:r>
      <w:r>
        <w:rPr>
          <w:rFonts w:ascii="Times New Roman;sans-serif" w:hAnsi="Times New Roman;sans-serif"/>
          <w:b w:val="false"/>
          <w:color w:val="000000"/>
          <w:sz w:val="24"/>
          <w:u w:val="single"/>
        </w:rPr>
        <w:t>Yield Protection, Etc.</w:t>
      </w:r>
    </w:p>
    <w:p>
      <w:pPr>
        <w:pStyle w:val="TextBody"/>
        <w:spacing w:lineRule="auto" w:line="240" w:before="0" w:after="240"/>
        <w:ind w:left="0" w:right="0" w:firstLine="720"/>
        <w:rPr/>
      </w:pPr>
      <w:bookmarkStart w:id="24" w:name="i8f80cd4713b44eeabaf249dd536c3245_262149"/>
      <w:bookmarkEnd w:id="24"/>
      <w:r>
        <w:rPr>
          <w:rFonts w:ascii="Times New Roman;sans-serif" w:hAnsi="Times New Roman;sans-serif"/>
          <w:b w:val="false"/>
          <w:color w:val="000000"/>
          <w:sz w:val="24"/>
        </w:rPr>
        <w:t>5.01    </w:t>
      </w:r>
      <w:r>
        <w:rPr>
          <w:rFonts w:ascii="Times New Roman;sans-serif" w:hAnsi="Times New Roman;sans-serif"/>
          <w:b w:val="false"/>
          <w:color w:val="000000"/>
          <w:sz w:val="24"/>
          <w:u w:val="single"/>
        </w:rPr>
        <w:t>Increased Costs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Increased Costs Generally</w:t>
      </w:r>
      <w:r>
        <w:rPr>
          <w:rFonts w:ascii="Times New Roman;sans-serif" w:hAnsi="Times New Roman;sans-serif"/>
          <w:b w:val="false"/>
          <w:color w:val="000000"/>
          <w:sz w:val="24"/>
        </w:rPr>
        <w:t>. If any Change in Law shall:</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subject any Lender to any Taxes (other than (A) Indemnified Taxes and (B) Taxes described in clause (c) of the definition of Excluded Taxes) on its loans, loan principal, letters of credit, commitments or other obligations, or its deposits, reserves, other liabilities or capital attributable thereto);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impose on any Lender any other condition, cost or expense affecting this Agreement or any Loan of such Lender;</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and the result of any of the foregoing shall be to increase the cost to such Lender of making or maintaining its Loan, or to reduce the amount of any sum received or receivable by such Lender hereunder (whether of principal, interest or any other amount) then, upon request of such Lender, the Company will pay to such Lender such additional amount or amounts as will compensate such Lender for such additional costs incurred or reduction suffered.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Capital Requirements</w:t>
      </w:r>
      <w:r>
        <w:rPr>
          <w:rFonts w:ascii="Times New Roman;sans-serif" w:hAnsi="Times New Roman;sans-serif"/>
          <w:b w:val="false"/>
          <w:color w:val="000000"/>
          <w:sz w:val="24"/>
        </w:rPr>
        <w:t>. If any Lender determines that any Change in Law affecting such Lender or any lending office of such Lender or such Lender’s holding company, if any, regarding capital requirements has or would have the effect of reducing the rate of return on such Lender’s capital or on the capital of such Lender’s holding company, if any, as a consequence of this Agreement, the Loan of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Company will pay to such Lender such additional amount or amounts as will compensate such Lender or such Lender’s holding company for any such reduction suffered.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Certificates for Reimbursement</w:t>
      </w:r>
      <w:r>
        <w:rPr>
          <w:rFonts w:ascii="Times New Roman;sans-serif" w:hAnsi="Times New Roman;sans-serif"/>
          <w:b w:val="false"/>
          <w:color w:val="000000"/>
          <w:sz w:val="24"/>
        </w:rPr>
        <w: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28650"/>
                <wp:effectExtent l="0" t="0" r="0" b="0"/>
                <wp:wrapNone/>
                <wp:docPr id="92" name="Frame9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A certificate of any Lender setting forth the amount or amounts necessary to compensate such Lender or its holding company, as the case may be, as specified in subsection (a) or (b) of this Section and delivered to the Company shall be conclusive absent manifest error. The Company shall pay to such Lender the amount shown as due on any such certificate within 10 days after receipt thereof.</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Notwithstanding the foregoing provisions, in no event shall the Company be required to make payments under this Section 5.01: (A) if a claim hereunder in respect of an increased cost covered by this Section 5.01 arises through circumstances peculiar to the affected Lender and that do not affect similarly organized commercial banking institutions in the same jurisdiction generally that are in compliance with the law, rule, regulation or interpretation giving rise to the Change in Law relating to such increased cost; (B) if the affected Lender shall fail to comply with its obligations under this Section 5.01; or (C) if the claim arises out of circumstances measured at the time of a voluntary relocation by such Lender of its Applicable Lending Office; (D) if the claim is in respect of or attributable to Taxes (the indemnifications for which are set out solely in Section 5.05); (E) if any amounts claimed thereunder are imposed by reason of the willful misconduct, fraud or gross negligence of such Lender or its Affiliates; or (F) if the affected Lender does not certify that it is also exercising rights similar to those set forth in this Section 5.01 in at least one other similar financing transaction with a similarly situated borrower where such Lender is entitled to then exercise such similar rights.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Delay in Requests</w:t>
      </w:r>
      <w:r>
        <w:rPr>
          <w:rFonts w:ascii="Times New Roman;sans-serif" w:hAnsi="Times New Roman;sans-serif"/>
          <w:b w:val="false"/>
          <w:color w:val="000000"/>
          <w:sz w:val="24"/>
        </w:rPr>
        <w:t xml:space="preserve">. Failure or delay on the part of any Lender to demand compensation pursuant to this Section shall not constitute a waiver of such Lender’s right to demand such compensation,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shall not be required to compensate a Lender pursuant to this Section for any increased costs incurred or reductions suffered more than 200 days prior to the date that such Lender notifies the Company of the Change in Law giving rise to such increased costs or reductions and of such Lender’s intention to claim compensation therefor (except that, if the Change in Law giving rise to such increased costs or reductions is retroactive, then the 200-day period referred to above shall be extended to include the period of retroactive effect thereof).</w:t>
      </w:r>
    </w:p>
    <w:p>
      <w:pPr>
        <w:pStyle w:val="TextBody"/>
        <w:spacing w:lineRule="auto" w:line="240" w:before="0" w:after="240"/>
        <w:ind w:left="0" w:right="0" w:firstLine="720"/>
        <w:rPr/>
      </w:pPr>
      <w:bookmarkStart w:id="25" w:name="i8f80cd4713b44eeabaf249dd536c3245_262150"/>
      <w:bookmarkEnd w:id="25"/>
      <w:r>
        <w:rPr>
          <w:rFonts w:ascii="Times New Roman;sans-serif" w:hAnsi="Times New Roman;sans-serif"/>
          <w:b w:val="false"/>
          <w:color w:val="000000"/>
          <w:sz w:val="24"/>
        </w:rPr>
        <w:t>5.02    </w:t>
      </w:r>
      <w:r>
        <w:rPr>
          <w:rFonts w:ascii="Times New Roman;sans-serif" w:hAnsi="Times New Roman;sans-serif"/>
          <w:b w:val="false"/>
          <w:color w:val="000000"/>
          <w:sz w:val="24"/>
          <w:u w:val="single"/>
        </w:rPr>
        <w:t>Market Disruption Event</w:t>
      </w:r>
      <w:r>
        <w:rPr>
          <w:rFonts w:ascii="Times New Roman;sans-serif" w:hAnsi="Times New Roman;sans-serif"/>
          <w:b w:val="false"/>
          <w:color w:val="000000"/>
          <w:sz w:val="24"/>
        </w:rPr>
        <w:t>. Subject to Section 5.07, if on or prior to the first day of any Interest Period: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the Facility Agent, acting at the direction of the Majority Lenders, determines (which determination shall be conclusive and binding on all parties) that Term SOFR cannot be determined pursuant to the definition thereof for such Interest Period; or</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either an initial Lender or, following an assignment of all or a portion of the initial Lenders’ Loans, the Majority Lenders, each acting in good faith, certifies to the Facility Agent (i) that Term SOFR will not adequately and fairly reflect the cost to such Lender of making and maintaining its Loan (or their Loans) for such Interest Period and that such event has not arisen as a result of circumstances specific to such Lender, (ii) that such Lender is exercising rights similar to those set forth in this Section 5.02 in at least one other similar financing transaction with a similarly situated borrower where such Lender is entitled to then exercise such similar rights, and (iii) the cost of funding such Lender’s Loan for such Interest Period, then the Facility Agent shall give notice thereof (a “</w:t>
      </w:r>
      <w:r>
        <w:rPr>
          <w:rFonts w:ascii="Times New Roman;sans-serif" w:hAnsi="Times New Roman;sans-serif"/>
          <w:b/>
          <w:color w:val="000000"/>
          <w:sz w:val="24"/>
        </w:rPr>
        <w:t>Market Disruption Notice</w:t>
      </w:r>
      <w:r>
        <w:rPr>
          <w:color w:val="000000"/>
        </w:rPr>
        <w:t>”</w:t>
      </w:r>
      <w:r>
        <w:rPr>
          <w:rFonts w:ascii="Times New Roman;sans-serif" w:hAnsi="Times New Roman;sans-serif"/>
          <w:b w:val="false"/>
          <w:color w:val="000000"/>
          <w:sz w:val="24"/>
        </w:rPr>
        <w:t xml:space="preserve">) to the Company and the Market Disruption Affected Lenders as soon as practicable thereafter and until the Facility Agent notifies the Company and the Market Disruption Affected Lenders that the circumstances giving rise to such Market Disruption Notice no longer exist, the ordinary rate of interest on the Loan of each Market Disruption Affected Lender shall be the rate notified by that Market Disruption Affected Lender to the Facility Agent, as soon as practicable, to be that which expresses as a percentage rate per annum its cost of funding an amount equal to its participation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28650"/>
                <wp:effectExtent l="0" t="0" r="0" b="0"/>
                <wp:wrapNone/>
                <wp:docPr id="93" name="Frame9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in that Loan (in place of Adjusted Term SOFR) plus the Applicable Margin. The cost of funding certified by a Market Disruption Affected Lender to the Facility Agent and the Company shall be conclusive absent manifest error.</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initial Lenders acknowledge and agree that they will not invoke a Market Disruption Event on the basis of market conditions on the initial Funding Date hereunder.</w:t>
      </w:r>
    </w:p>
    <w:p>
      <w:pPr>
        <w:pStyle w:val="TextBody"/>
        <w:spacing w:lineRule="auto" w:line="240" w:before="0" w:after="240"/>
        <w:ind w:left="0" w:right="0" w:firstLine="720"/>
        <w:rPr/>
      </w:pPr>
      <w:bookmarkStart w:id="26" w:name="i8f80cd4713b44eeabaf249dd536c3245_262151"/>
      <w:bookmarkEnd w:id="26"/>
      <w:r>
        <w:rPr>
          <w:rFonts w:ascii="Times New Roman;sans-serif" w:hAnsi="Times New Roman;sans-serif"/>
          <w:b w:val="false"/>
          <w:color w:val="000000"/>
          <w:sz w:val="24"/>
        </w:rPr>
        <w:t>5.03    </w:t>
      </w:r>
      <w:r>
        <w:rPr>
          <w:rFonts w:ascii="Times New Roman;sans-serif" w:hAnsi="Times New Roman;sans-serif"/>
          <w:b w:val="false"/>
          <w:color w:val="000000"/>
          <w:sz w:val="24"/>
          <w:u w:val="single"/>
        </w:rPr>
        <w:t>Illegality</w:t>
      </w:r>
      <w:r>
        <w:rPr>
          <w:rFonts w:ascii="Times New Roman;sans-serif" w:hAnsi="Times New Roman;sans-serif"/>
          <w:b w:val="false"/>
          <w:color w:val="000000"/>
          <w:sz w:val="24"/>
        </w:rPr>
        <w:t>. Notwithstanding any other provision of this Agreement, in the event that any Change in Law shall make it unlawful for any Lender or its Applicable Lending Office to make or maintain its Loan (and, in the opinion of such Lender, the designation of a different Applicable Lending Office would either not avoid such unlawfulness or would be disadvantageous to such Lender) (an “</w:t>
      </w:r>
      <w:r>
        <w:rPr>
          <w:rFonts w:ascii="Times New Roman;sans-serif" w:hAnsi="Times New Roman;sans-serif"/>
          <w:b/>
          <w:color w:val="000000"/>
          <w:sz w:val="24"/>
        </w:rPr>
        <w:t>Illegality Event</w:t>
      </w:r>
      <w:r>
        <w:rPr>
          <w:color w:val="000000"/>
        </w:rPr>
        <w:t>”</w:t>
      </w:r>
      <w:r>
        <w:rPr>
          <w:rFonts w:ascii="Times New Roman;sans-serif" w:hAnsi="Times New Roman;sans-serif"/>
          <w:b w:val="false"/>
          <w:color w:val="000000"/>
          <w:sz w:val="24"/>
        </w:rPr>
        <w:t xml:space="preserve">), then such Lender shall promptly notify the Company thereof (with a copy to the Facility Agent) following which, at the Company’s election as notified to such Lender and the Facility Agent, either (i) the Company shall prepay in full the then outstanding principal amount of such Lender’s Loan, together with accrued interest thereon to the date of prepayment and all other amounts payable to such Lender under this Agreement on or before such date as shall be mandated by such Illegality Event or (ii) the Company and such Lender shall negotiate for a period of 30 days in an effort to mitigate such Illegality Event. If, after such mitigation period, such Illegality Event cannot be resolved and if requested by such Lender, such Lender’s Commitment shall terminate and the Company shall, within 10 Business Days from the end of such period, prepay in full the then outstanding principal amount of such Lender’s Loan, together with accrued interest thereon to the date of prepayment and all other amounts payable to such Lender under this Agreement on or before such date as shall be mandated by such Illegality Event;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prior to requesting prepayment by the Company of such Lender’s Loan after such mitigation period as a result of such Illegality Event, such Lender shall use commercially reasonable efforts to assign its portion of the Loan (in accordance with and subject to the restrictions contained in, and consents required by, Section 13.04) to an assignee that is not impacted by such Illegality Event and, if such Lender is not able to assign its portion of the Loan after such commercially reasonable efforts, the Company shall prepay such Lender’s Loan in accordance with this Section 5.03 and no Breakage Costs shall be payable by the Company in the event of a prepayment under this Section 5.03.</w:t>
      </w:r>
    </w:p>
    <w:p>
      <w:pPr>
        <w:pStyle w:val="TextBody"/>
        <w:spacing w:lineRule="auto" w:line="240" w:before="0" w:after="240"/>
        <w:ind w:left="0" w:right="0" w:firstLine="720"/>
        <w:rPr/>
      </w:pPr>
      <w:bookmarkStart w:id="27" w:name="i8f80cd4713b44eeabaf249dd536c3245_262152"/>
      <w:bookmarkEnd w:id="27"/>
      <w:r>
        <w:rPr>
          <w:rFonts w:ascii="Times New Roman;sans-serif" w:hAnsi="Times New Roman;sans-serif"/>
          <w:b w:val="false"/>
          <w:color w:val="000000"/>
          <w:sz w:val="24"/>
        </w:rPr>
        <w:t>5.04    </w:t>
      </w:r>
      <w:r>
        <w:rPr>
          <w:rFonts w:ascii="Times New Roman;sans-serif" w:hAnsi="Times New Roman;sans-serif"/>
          <w:b w:val="false"/>
          <w:color w:val="000000"/>
          <w:sz w:val="24"/>
          <w:u w:val="single"/>
        </w:rPr>
        <w:t>Break-Funding</w:t>
      </w:r>
      <w:r>
        <w:rPr>
          <w:rFonts w:ascii="Times New Roman;sans-serif" w:hAnsi="Times New Roman;sans-serif"/>
          <w:b w:val="false"/>
          <w:color w:val="000000"/>
          <w:sz w:val="24"/>
        </w:rPr>
        <w:t>. (a) The Company shall pay to the Facility Agent for the account of each Lender, upon the request of such Lender through the Facility Agent, such amount or amounts (if any) as shall be sufficient to compensate it for any loss, cost or expense that such Lender determines is attributable to:</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any prepayment of its Loan for any reason on a date other than the last day of an Interest Period, except in connection with a prepayment pursuant to Section 5.03;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the failure by the Company for any reason (including the failure of any of the conditions precedent specified in Section 6 to be satisfied) to borrow the Borrowing on the date specified in the Notice of Borrowing given pursuant to Section 2.02, or to prepay any Loan in accordance with a notice of prepayment under Section 3.03;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the assignment of any of its Loans other than on the last day of the Interest Period applicable thereto as a result of a request by the Company pursuant to Section 5.06(b);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(iv)    any acceleration of the Loans pursuant to Section 9;</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28650"/>
                <wp:effectExtent l="0" t="0" r="0" b="0"/>
                <wp:wrapNone/>
                <wp:docPr id="94" name="Frame9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including, in each case, any loss, cost or expense arising from the liquidation or redeployment of funds or from any fees payable.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Each Lender will furnish to the Company a certificate setting forth the basis and amount of each request by such Lender for compensation under this Section 5.04, which certificate shall be conclusive in the absence of manifest error.</w:t>
      </w:r>
    </w:p>
    <w:p>
      <w:pPr>
        <w:pStyle w:val="TextBody"/>
        <w:spacing w:lineRule="auto" w:line="240" w:before="0" w:after="240"/>
        <w:ind w:left="0" w:right="0" w:firstLine="720"/>
        <w:rPr/>
      </w:pPr>
      <w:bookmarkStart w:id="28" w:name="i8f80cd4713b44eeabaf249dd536c3245_262153"/>
      <w:bookmarkEnd w:id="28"/>
      <w:r>
        <w:rPr>
          <w:rFonts w:ascii="Times New Roman;sans-serif" w:hAnsi="Times New Roman;sans-serif"/>
          <w:b w:val="false"/>
          <w:color w:val="000000"/>
          <w:sz w:val="24"/>
        </w:rPr>
        <w:t>5.05    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Payments Free of Taxes</w:t>
      </w:r>
      <w:r>
        <w:rPr>
          <w:rFonts w:ascii="Times New Roman;sans-serif" w:hAnsi="Times New Roman;sans-serif"/>
          <w:b w:val="false"/>
          <w:color w:val="000000"/>
          <w:sz w:val="24"/>
        </w:rPr>
        <w:t xml:space="preserve">. Any and all payments by or on account of any obligation of the Company hereunder or under any other Loan Document shall be made without deduction or withholding for any Indemnified Taxes or Other Taxes,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the Company or Facility Agent shall be required by applicable law (as determined in the good faith discretion of Company or Facility Agent) to deduct any Indemnified Taxes (including any Other Taxes) from such payments, then (i) the sum payable shall be increased as necessary so that after making all required deductions and withholdings for Indemnified Taxes or Other Taxes (including deductions for Indemnified Taxes or Other Taxes applicable to additional sums payable under this Section) each Agent and each Lender receives an amount equal to the sum it would have received had no such deductions for Indemnified Taxes or Other Taxes been made, (ii) the Company or the Facility Agent, as applicable, shall make such deductions and (iii) the Company or the Facility Agent shall timely pay the full amount deducted to the relevant Governmental Authority in accordance with applicable law.</w:t>
      </w:r>
    </w:p>
    <w:p>
      <w:pPr>
        <w:pStyle w:val="TextBody"/>
        <w:spacing w:lineRule="auto" w:line="288" w:before="0" w:after="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Payment of Other Taxes by the Company and the Guarantor</w:t>
      </w:r>
      <w:r>
        <w:rPr>
          <w:rFonts w:ascii="Times New Roman;sans-serif" w:hAnsi="Times New Roman;sans-serif"/>
          <w:b w:val="false"/>
          <w:color w:val="000000"/>
          <w:sz w:val="24"/>
        </w:rPr>
        <w:t>.</w:t>
      </w:r>
    </w:p>
    <w:p>
      <w:pPr>
        <w:pStyle w:val="TextBody"/>
        <w:spacing w:before="0" w:after="0"/>
        <w:rPr/>
      </w:pPr>
      <w:r>
        <w:rPr/>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    </w:t>
      </w:r>
      <w:r>
        <w:rPr>
          <w:rFonts w:ascii="Times New Roman;sans-serif" w:hAnsi="Times New Roman;sans-serif"/>
          <w:b w:val="false"/>
          <w:color w:val="000000"/>
          <w:sz w:val="24"/>
          <w:u w:val="single"/>
        </w:rPr>
        <w:t>Tax Indemnity</w:t>
      </w:r>
      <w:r>
        <w:rPr>
          <w:rFonts w:ascii="Times New Roman;sans-serif" w:hAnsi="Times New Roman;sans-serif"/>
          <w:b w:val="false"/>
          <w:color w:val="000000"/>
          <w:sz w:val="24"/>
        </w:rPr>
        <w:t>. The Company and the Guarantor shall pay, and, upon written demand, shall indemnify, protect, defend and hold each Tax Indemnitee harmless from, all Taxes that may from time to time be imposed on or asserted against any Tax Indemnitee (x) upon or with respect to the Collateral, or the income or proceeds therefrom, or (y) arising from the execution, delivery or enforcement of this Agreement, any other Loan Document or any Note, or any payment by the Company and the Guarantor pursuant thereto, or otherwise in respect of this Agreement, any other Loan Document or Note.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(ii)    </w:t>
      </w:r>
      <w:r>
        <w:rPr>
          <w:rFonts w:ascii="Times New Roman;sans-serif" w:hAnsi="Times New Roman;sans-serif"/>
          <w:b w:val="false"/>
          <w:color w:val="000000"/>
          <w:sz w:val="24"/>
          <w:u w:val="single"/>
        </w:rPr>
        <w:t>Exceptions to Tax Indemnity</w:t>
      </w:r>
      <w:r>
        <w:rPr>
          <w:rFonts w:ascii="Times New Roman;sans-serif" w:hAnsi="Times New Roman;sans-serif"/>
          <w:b w:val="false"/>
          <w:color w:val="000000"/>
          <w:sz w:val="24"/>
        </w:rPr>
        <w:t>. The provisions of paragraph (b)(i) above shall not apply to, and the Company and the Guarantor shall have no liability hereunder for Taxes:</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to the extent such Taxes result directly from the gross negligence or willful misconduct of any Tax Indemnitee or its Tax Indemnitee Related Parties as determined by a court of competent jurisdiction by a final and non-appealable judgment;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resulting from, or that would not have been imposed but for, any Liens arising as a result of claims against, or acts or omissions of, or otherwise attributable to any Tax Indemnitee or its Tax Indemnitee Related Parties unless such Liens, claims, acts or omissions are primarily and directly attributable to the Company, the Guarantor or a Company Affiliate;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(C)    imposed as a result of the breach by any Tax Indemnitee or its Tax Indemnitee Related Parties of any covenant, representation or warranty of such Tax Indemnitee or its Tax Indemnitee Related Parties contained in or made pursuant to any Loan Document or the inaccuracy of any representation or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28650"/>
                <wp:effectExtent l="0" t="0" r="0" b="0"/>
                <wp:wrapNone/>
                <wp:docPr id="95" name="Frame9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warranty by any Tax Indemnitee or its Tax Indemnitee Related Parties contained in or made pursuant to any Loan Document;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(D)    other than during or as a result of the continuation of an Event of Default, to the extent attributable to the authorization or giving or withholding of any future amendments, supplements, waivers or consents with respect to any Loan Document other than such as have been requested by the Company or as are required by or made pursuant to the terms of any Loan Document (unless such requirement results from the actions of a Tax Indemnitee not required by or made pursuant to the Loan Document);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(E)    to the extent attributable to any amount which any Tax Indemnitee expressly agrees in writing to pay or expressly agrees in writing shall not be paid by or be reimbursed by the Company;</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(F)    that are Excluded Taxes;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(G)    which are imposed with respect to a voluntary or involuntary transfer by any Tax Indemnitee of a Loan Document, or any interest in any thereof,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this clause (G) shall not apply in the case of any transfer which occurs while an Event of Default has occurred and is continuing or that is primarily and directly attributable to the Company, the Guarantor or a Company Affiliate or is reasonably necessary to comply with applicable law as the result of a Change in Law;</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(H)    that are in the nature of net income taxes payable by any Agent in respect of the fees, commissions, or compensation payable to the Agent for services rendered in its capacity as an Agent;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that are imposed on any transferee of a Tax Indemnitee (a) if, pursuant to the law in effect at the time of the transfer, such Taxes would not have been imposed on the transferor Tax Indemnitee, or (b) to the extent such Taxes, pursuant to the law in effect at the time of the transfer, exceed the amount of Taxes that would have been imposed on the transferor Tax Indemnitee;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(J)    to the extent that such Taxes are imposed or increased as a result of the failure of any Tax Indemnitee to provide, upon reasonable request of the Company and to the extent it is legally entitled to do so, any certification (or form certifying) as to its nationality, residence or identity that is required by applicable law and under such applicable law would reduce or eliminate the amount of Taxes;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(K)    that are imposed on a Tax Indemnitee related to ERISA or by section 4975 of the Code or as a result of the occurrence of any prohibited transaction within the meaning of Section 406 of ERISA (and any corresponding civil penalties payable under ERISA).</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Indemnification by the Company</w:t>
      </w:r>
      <w:r>
        <w:rPr>
          <w:rFonts w:ascii="Times New Roman;sans-serif" w:hAnsi="Times New Roman;sans-serif"/>
          <w:b w:val="false"/>
          <w:color w:val="000000"/>
          <w:sz w:val="24"/>
        </w:rPr>
        <w:t xml:space="preserve">. The Company and the Guarantor shall indemnify each Agent and each Lender, within 30 days after written demand therefor, for the full amount of any Indemnified Taxes or Other Taxes (including Indemnified Taxes or Other Taxes imposed or asserted on or attributable to amounts payable under this Section) for which it is responsible pursuant to any Loan Document and paid by such Agent or such Lender and any penalties, interest and reasonable expenses arising therefrom or with respect thereto, whether or not such Indemnified Taxes or Other Taxes were correctly or legally imposed or asserted by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28650"/>
                <wp:effectExtent l="0" t="0" r="0" b="0"/>
                <wp:wrapNone/>
                <wp:docPr id="96" name="Frame9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relevant Governmental Authority. A certificate as to the amount of such payment or liability delivered to the Company by a Lender or the Security Trustee (in each case with a copy to the Facility Agent), or by the Facility Agent on its own behalf or on behalf of a Lender or the Security Trustee, shall be conclusive absent manifest error.</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Evidence of Payments</w:t>
      </w:r>
      <w:r>
        <w:rPr>
          <w:rFonts w:ascii="Times New Roman;sans-serif" w:hAnsi="Times New Roman;sans-serif"/>
          <w:b w:val="false"/>
          <w:color w:val="000000"/>
          <w:sz w:val="24"/>
        </w:rPr>
        <w:t>. As soon as practicable after any payment of Indemnified Taxes or Other Taxes for which it is responsible by the Company or the Guarantor to a Governmental Authority, the Company shall deliver to the Facility Agent the original or a certified copy of a receipt issued by such Governmental Authority evidencing such payment, a copy of the return reporting such payment or other evidence of such payment reasonably satisfactory to the Facility Agent.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Forms</w:t>
      </w:r>
      <w:r>
        <w:rPr>
          <w:rFonts w:ascii="Times New Roman;sans-serif" w:hAnsi="Times New Roman;sans-serif"/>
          <w:b w:val="false"/>
          <w:color w:val="000000"/>
          <w:sz w:val="24"/>
        </w:rPr>
        <w:t xml:space="preserve">. Prior to the initial Funding Date, the Facility Agent shall provide to the Company with two Internal Revenue Service forms W-9, W-8BEN, W-BEN-E, W-8ECI and/or W-8IMY, as applicable, with required attachments. In addition, each Lender organized under the laws of a jurisdiction outside the United States, on or prior to the date of its execution and delivery of this Agreement in the case of any Lender that is a signatory under the caption “LENDERS” on the signature page hereto and on the effective date of the applicable Assignment and Assumption Agreement pursuant to which it becomes a Lender in the case of each other Lender, and from time to time thereafter as requested in writing by the Company (but only so long as such Lender remains lawfully able to do so), shall provide each of the Facility Agent and the Company with two original Internal Revenue Service forms W-9, W-8BEN, W-BEN-E, W-8ECI and/or W-8IMY, as appropriate, or any successor or other form prescribed by the Internal Revenue Service, certifying that such Lender is exempt from or entitled to a reduced rate of United States withholding tax on interest payments pursuant to this Agreement and the Notes. In addition, any Lender that is not resident for tax purposes in the jurisdiction in which the Company is resident for such purposes and is entitled to an exemption from or reduction of withholding tax under the law of the jurisdiction in which the Company is resident, or any treaty to which such jurisdiction is a party, with respect to interest payments hereunder or under any other Loan Document shall, to the extent legally able to do so, use reasonable efforts to deliver to the Company (with a copy to the Facility Agent), (i) in the case of any Lender that is a signatory under the caption “LENDERS” on the signature pages hereto, on or prior to the Effective Date and (ii) in the case of any other Lender, on or prior to the effective date of the applicable assignment, and in any event no later than at the time or times prescribed by applicable law, such properly completed and executed documentation prescribed by applicable law or reasonably requested by the Company or Facility Agent as will permit such payments to be made without withholding or at a reduced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nothing herein shall obligate any Lender to disclose any confidential information in connection therewith. For any period with respect to which a Lender has failed to provide the Company with the appropriate form described in this Section 5.05(e) (other than if such failure is due to a Change in Law occurring subsequent to the date on which a form originally was required to be provided, or if such form otherwise is not required under this Section 5.05(e)), such Lender shall not be entitled to indemnification under Section 5.05 or with respect to Taxes imposed by the United States by reason of such failure.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(f)    </w:t>
      </w:r>
      <w:r>
        <w:rPr>
          <w:rFonts w:ascii="Times New Roman;sans-serif" w:hAnsi="Times New Roman;sans-serif"/>
          <w:b w:val="false"/>
          <w:color w:val="000000"/>
          <w:sz w:val="24"/>
          <w:u w:val="single"/>
        </w:rPr>
        <w:t>Refunds</w:t>
      </w:r>
      <w:r>
        <w:rPr>
          <w:rFonts w:ascii="Times New Roman;sans-serif" w:hAnsi="Times New Roman;sans-serif"/>
          <w:b w:val="false"/>
          <w:color w:val="000000"/>
          <w:sz w:val="24"/>
        </w:rPr>
        <w:t xml:space="preserve">. If an Agent or Lender, or other recipient of any payment to be made by or on account of any obligation of the Company or the Guarantor hereunder determines, in its sole discretion, that it has received a refund of any Taxes as to which it has been indemnified by the Company or the Guarantor or with respect to which the Company or the Guarantor has paid additional amounts pursuant to this Section 5.05, it shall (provided no Event of Default shall have occurred and be continuing) pay over such refund to the Company or the Guarantor (but only to the extent of indemnity payments made, or additional amounts paid, by the Company or the Guarantor under this Section 5.05 with respect to the Indemnified Taxes or Other Taxes giving rise to such refund), net of all out-of-pocket expenses of such Agent, Lender or other recipient (including any Taxes imposed with respect to such refund) as determined by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28650"/>
                <wp:effectExtent l="0" t="0" r="0" b="0"/>
                <wp:wrapNone/>
                <wp:docPr id="97" name="Frame9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the Agent, Lender or other recipient in its sole good faith discretion, and without interest (other than any interest paid by the relevant Governmental Authority with respect to such refund);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Company or the Guarantor, as applicable, upon the request of such Agent, Lender or other recipient agrees to repay as soon as reasonably practicable the amount paid over to the Company or the Guarantor (plus any penalties, interest or other charges imposed by the relevant Governmental Authority) to such Agent, Lender, or other recipient in the event such Agent, Lender, or other recipient is required to repay such refund to such Governmental Authority. This Section 5.05 shall not be construed to require any Agent, Lender or other recipient to make available its Tax returns (or any other information relating to its Taxes which it deems confidential) to the Company, the Guarantor or any other person.</w: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This Section 5.05 shall not interfere with the right of any Agent, Lender or other recipient to arrange its tax affairs in whatever manner it thinks fit.</w:t>
      </w:r>
    </w:p>
    <w:p>
      <w:pPr>
        <w:pStyle w:val="TextBody"/>
        <w:spacing w:lineRule="auto" w:line="240" w:before="0" w:after="240"/>
        <w:ind w:left="0" w:right="0" w:firstLine="720"/>
        <w:rPr/>
      </w:pPr>
      <w:bookmarkStart w:id="29" w:name="i8f80cd4713b44eeabaf249dd536c3245_262154"/>
      <w:bookmarkEnd w:id="29"/>
      <w:r>
        <w:rPr>
          <w:rFonts w:ascii="Times New Roman;sans-serif" w:hAnsi="Times New Roman;sans-serif"/>
          <w:b w:val="false"/>
          <w:color w:val="000000"/>
          <w:sz w:val="24"/>
        </w:rPr>
        <w:t>5.06    </w:t>
      </w:r>
      <w:r>
        <w:rPr>
          <w:rFonts w:ascii="Times New Roman;sans-serif" w:hAnsi="Times New Roman;sans-serif"/>
          <w:b w:val="false"/>
          <w:color w:val="000000"/>
          <w:sz w:val="24"/>
          <w:u w:val="single"/>
        </w:rPr>
        <w:t>Mitigation Obligations; Replacement of Lenders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Designation of a Different Applicable Lending Office</w:t>
      </w:r>
      <w:r>
        <w:rPr>
          <w:rFonts w:ascii="Times New Roman;sans-serif" w:hAnsi="Times New Roman;sans-serif"/>
          <w:b w:val="false"/>
          <w:color w:val="000000"/>
          <w:sz w:val="24"/>
        </w:rPr>
        <w:t xml:space="preserve">. If any Lender (i) requests compensation under Section 5.01, (ii) requires the Company to pay any additional amount to any Lender or any Governmental Authority for the account of any Lender pursuant to Section 5.05, or (iii) requires the Company to pay interest to any Lender at a higher rate pursuant to Section 5.02, the Company may request that such Lender use and, then, in each case, such Lender shall use commercially reasonable efforts to mitigate the amount or amounts owing to such Lender by designating a different Applicable Lending Office for funding or booking its Loan hereunder or assigning its rights and obligations hereunder to another of its offices, branches or affiliates, if, in the judgment of such Lender, such designation or assignment (A) would eliminate or reduce amounts payable pursuant to Section 5.01, 5.05 or 5.02, as the case may be, in the future and (B) would not subject such Lender to any unreimbursed cost or expense and would not be materially disadvantageous to such Lender.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Replacement of Lenders</w:t>
      </w:r>
      <w:r>
        <w:rPr>
          <w:rFonts w:ascii="Times New Roman;sans-serif" w:hAnsi="Times New Roman;sans-serif"/>
          <w:b w:val="false"/>
          <w:color w:val="000000"/>
          <w:sz w:val="24"/>
        </w:rPr>
        <w:t xml:space="preserve">. If any Lender requests compensation under Section 5.01, if the Company is required to pay any additional amount to any Lender or any Governmental Authority for the account of any Lender pursuant to Section 5.05, or if the Company is required to pay interest to any Lender at a higher rate pursuant to Section 5.02, then the Company may, at its sole expense and effort, upon three Business Days (which shall also be U.S. Government Securities Business Days) written notice to such Lender and the Facility Agent, require such Lender to assign, without recourse (in accordance with and subject to the restrictions contained in, and consents required by, Section 13.04), all of its interests, rights and obligations under this Agreement and the Notes to an Eligible Assignee identified by the Company that shall assume such obligations (which Eligible Assignee may be another Lender, if a Lender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such Lender shall have received payment of an amount equal to the outstanding principal of its Loan, accrued interest thereon, including increased costs due pursuant to Section 5.01, any additional amounts due under Section 5.05 and all other amounts payable to it under the Loan Documents (including any amounts under Section 5.04 as if such Loan were prepaid in full) from the assignee (to the extent of such outstanding principal and accrued interest) or the Company (in the case of all other amounts);</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in the case of any such assignment resulting from a claim for compensation under Section 5.01, payments required to be made pursuant to Section 5.05 or payment of interest to be made at a higher rate pursuant to Section 5.02, such assignment will result in a reduction in such compensation or payments thereafter; and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28650"/>
                <wp:effectExtent l="0" t="0" r="0" b="0"/>
                <wp:wrapNone/>
                <wp:docPr id="98" name="Frame9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ind w:left="0" w:right="0" w:firstLine="720"/>
        <w:rPr>
          <w:color w:val="000000"/>
        </w:rPr>
      </w:pPr>
      <w:r>
        <w:rPr>
          <w:color w:val="000000"/>
        </w:rPr>
        <w:t>    </w:t>
      </w:r>
      <w:r>
        <w:rPr>
          <w:rFonts w:ascii="Times New Roman;sans-serif" w:hAnsi="Times New Roman;sans-serif"/>
          <w:b w:val="false"/>
          <w:color w:val="000000"/>
          <w:sz w:val="24"/>
        </w:rPr>
        <w:t>(iii)    such assignment does not conflict with applicable law.</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 Lender shall not be required to make any such assignment if, prior thereto, as a result of a waiver by such Lender or otherwise, the circumstances entitling the Company to require such assignment cease to apply.</w:t>
      </w:r>
    </w:p>
    <w:p>
      <w:pPr>
        <w:pStyle w:val="TextBody"/>
        <w:spacing w:lineRule="auto" w:line="240" w:before="0" w:after="240"/>
        <w:ind w:left="0" w:right="0" w:firstLine="720"/>
        <w:rPr/>
      </w:pPr>
      <w:bookmarkStart w:id="30" w:name="i8f80cd4713b44eeabaf249dd536c3245_262155"/>
      <w:bookmarkEnd w:id="30"/>
      <w:r>
        <w:rPr>
          <w:rFonts w:ascii="Times New Roman;sans-serif" w:hAnsi="Times New Roman;sans-serif"/>
          <w:b w:val="false"/>
          <w:color w:val="000000"/>
          <w:sz w:val="24"/>
        </w:rPr>
        <w:t>5.07    </w:t>
      </w:r>
      <w:r>
        <w:rPr>
          <w:rFonts w:ascii="Times New Roman;sans-serif" w:hAnsi="Times New Roman;sans-serif"/>
          <w:b w:val="false"/>
          <w:color w:val="000000"/>
          <w:sz w:val="24"/>
          <w:u w:val="single"/>
        </w:rPr>
        <w:t>Benchmark Replacement Setting</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Benchmark Replacement</w:t>
      </w:r>
      <w:r>
        <w:rPr>
          <w:rFonts w:ascii="Times New Roman;sans-serif" w:hAnsi="Times New Roman;sans-serif"/>
          <w:b w:val="false"/>
          <w:color w:val="000000"/>
          <w:sz w:val="24"/>
        </w:rPr>
        <w:t>. Notwithstanding anything to the contrary herein or in any other Loan Document, upon the occurrence of a Benchmark Transition Event, the Facility Agent and the Company may amend this Agreement to replace the then-current Benchmark with a Benchmark Replacement. Any such amendment with respect to a Benchmark Transition Event will become effective at 5:00 p.m. (New York City time) on the fifth (5</w:t>
      </w:r>
      <w:r>
        <w:rPr>
          <w:rFonts w:ascii="Times New Roman;sans-serif" w:hAnsi="Times New Roman;sans-serif"/>
          <w:b w:val="false"/>
          <w:color w:val="000000"/>
          <w:sz w:val="16"/>
        </w:rPr>
        <w:t>th</w:t>
      </w:r>
      <w:r>
        <w:rPr>
          <w:rFonts w:ascii="Times New Roman;sans-serif" w:hAnsi="Times New Roman;sans-serif"/>
          <w:b w:val="false"/>
          <w:color w:val="000000"/>
          <w:sz w:val="24"/>
        </w:rPr>
        <w:t>) Business Day after the Facility Agent has posted such proposed amendment to all affected Lenders and the Company so long as the Facility Agent has not received, by such time, written notice of objection to such amendment from Lenders comprising the Majority Lenders. No replacement of a Benchmark with a Benchmark Replacement pursuant to this Section 5.07(a) will occur prior to the applicable Benchmark Transition Start Date.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Benchmark Replacement Conforming Changes</w:t>
      </w:r>
      <w:r>
        <w:rPr>
          <w:rFonts w:ascii="Times New Roman;sans-serif" w:hAnsi="Times New Roman;sans-serif"/>
          <w:b w:val="false"/>
          <w:color w:val="000000"/>
          <w:sz w:val="24"/>
        </w:rPr>
        <w:t>. In connection with the use, administration, adoption or implementation of a Benchmark Replacement, the Facility Agent, following consultation with the Company,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Notices; Standards for Decisions and Determinations</w:t>
      </w:r>
      <w:r>
        <w:rPr>
          <w:rFonts w:ascii="Times New Roman;sans-serif" w:hAnsi="Times New Roman;sans-serif"/>
          <w:b w:val="false"/>
          <w:color w:val="000000"/>
          <w:sz w:val="24"/>
        </w:rPr>
        <w:t>. The Facility Agent will promptly notify the Company and the Lenders of (i) the implementation of any Benchmark Replacement and (ii) the effectiveness of any Conforming Changes in connection with the use, administration, adoption or implementation of a Benchmark Replacement. The Facility Agent will promptly notify the Company of (x) the removal or reinstatement of any tenor of a Benchmark pursuant to Section 5.07(d) and (y) the commencement of any Benchmark Unavailability Period. Any determination, decision or election that may be made by the Facility Agent or, if applicable, any Lender (or group of Lenders) pursuant to this Section 5.07,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5.07.</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Unavailability of Tenor of Benchmark</w:t>
      </w:r>
      <w:r>
        <w:rPr>
          <w:rFonts w:ascii="Times New Roman;sans-serif" w:hAnsi="Times New Roman;sans-serif"/>
          <w:b w:val="false"/>
          <w:color w:val="000000"/>
          <w:sz w:val="24"/>
        </w:rPr>
        <w:t xml:space="preserve">.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Facility Agent in its reasonable discretion or (B) the regulatory supervisor for the administrator of such Benchmark has provided a public statement or publication of information announcing that any tenor for such Benchmark is no longer or will not be representative, then the Facility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28650"/>
                <wp:effectExtent l="0" t="0" r="0" b="0"/>
                <wp:wrapNone/>
                <wp:docPr id="99" name="Frame9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or will no longer be representative for a Benchmark (including a Benchmark Replacement), then the Facility Agent may modify the definition of “Interest Period” (or any similar or analogous definition) for all Benchmark settings at or after such time to reinstate such previously removed tenor.</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Benchmark Unavailability Period</w:t>
      </w:r>
      <w:r>
        <w:rPr>
          <w:rFonts w:ascii="Times New Roman;sans-serif" w:hAnsi="Times New Roman;sans-serif"/>
          <w:b w:val="false"/>
          <w:color w:val="000000"/>
          <w:sz w:val="24"/>
        </w:rPr>
        <w:t>. Upon the Company’s receipt of notice of the commencement of a Benchmark Unavailability Period, the Company may revoke any Notice of Borrowing.</w:t>
      </w:r>
    </w:p>
    <w:p>
      <w:pPr>
        <w:pStyle w:val="TextBody"/>
        <w:spacing w:lineRule="auto" w:line="240" w:before="0" w:after="240"/>
        <w:ind w:left="0" w:right="0" w:firstLine="720"/>
        <w:rPr/>
      </w:pPr>
      <w:bookmarkStart w:id="31" w:name="i8f80cd4713b44eeabaf249dd536c3245_262156"/>
      <w:bookmarkEnd w:id="31"/>
      <w:r>
        <w:rPr>
          <w:rFonts w:ascii="Times New Roman;sans-serif" w:hAnsi="Times New Roman;sans-serif"/>
          <w:b/>
          <w:color w:val="000000"/>
          <w:sz w:val="24"/>
        </w:rPr>
        <w:t>Section 6.</w:t>
      </w:r>
      <w:r>
        <w:rPr>
          <w:rFonts w:ascii="Times New Roman;sans-serif" w:hAnsi="Times New Roman;sans-serif"/>
          <w:b w:val="false"/>
          <w:color w:val="000000"/>
          <w:sz w:val="24"/>
          <w:u w:val="single"/>
        </w:rPr>
        <w:t>Conditions Precedent</w:t>
      </w:r>
      <w:r>
        <w:rPr>
          <w:rFonts w:ascii="Times New Roman;sans-serif" w:hAnsi="Times New Roman;sans-serif"/>
          <w:b w:val="false"/>
          <w:color w:val="000000"/>
          <w:sz w:val="24"/>
        </w:rPr>
        <w:t>.</w:t>
      </w:r>
    </w:p>
    <w:p>
      <w:pPr>
        <w:pStyle w:val="TextBody"/>
        <w:spacing w:lineRule="auto" w:line="240" w:before="0" w:after="240"/>
        <w:ind w:left="0" w:right="0" w:firstLine="720"/>
        <w:rPr/>
      </w:pPr>
      <w:bookmarkStart w:id="32" w:name="i8f80cd4713b44eeabaf249dd536c3245_262157"/>
      <w:bookmarkEnd w:id="32"/>
      <w:r>
        <w:rPr>
          <w:rFonts w:ascii="Times New Roman;sans-serif" w:hAnsi="Times New Roman;sans-serif"/>
          <w:b w:val="false"/>
          <w:color w:val="000000"/>
          <w:sz w:val="24"/>
        </w:rPr>
        <w:t>6.01    </w:t>
      </w:r>
      <w:r>
        <w:rPr>
          <w:rFonts w:ascii="Times New Roman;sans-serif" w:hAnsi="Times New Roman;sans-serif"/>
          <w:b w:val="false"/>
          <w:color w:val="000000"/>
          <w:sz w:val="24"/>
          <w:u w:val="single"/>
        </w:rPr>
        <w:t>Conditions to Effective Date</w:t>
      </w:r>
      <w:r>
        <w:rPr>
          <w:rFonts w:ascii="Times New Roman;sans-serif" w:hAnsi="Times New Roman;sans-serif"/>
          <w:b w:val="false"/>
          <w:color w:val="000000"/>
          <w:sz w:val="24"/>
        </w:rPr>
        <w:t xml:space="preserve">. The effectiveness of this Agreement is subject to the receipt or waiver in writing by the Facility Agent (acting at the direction of the Majority Lenders) of the following documents (or, as applicable, satisfaction or waiver in writing of the conditions precedent), each of which shall be reasonably satisfactory to the Facility Agent and each Lender in form and substance: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This Agreement, duly executed and delivered by the Company, the Guarantor and each of the other parties hereto.</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Mortgage</w:t>
      </w:r>
      <w:r>
        <w:rPr>
          <w:rFonts w:ascii="Times New Roman;sans-serif" w:hAnsi="Times New Roman;sans-serif"/>
          <w:b w:val="false"/>
          <w:color w:val="000000"/>
          <w:sz w:val="24"/>
        </w:rPr>
        <w:t>. The Mortgage, duly executed and delivered by the Company and the Security Trustee.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Fee Letters</w:t>
      </w:r>
      <w:r>
        <w:rPr>
          <w:rFonts w:ascii="Times New Roman;sans-serif" w:hAnsi="Times New Roman;sans-serif"/>
          <w:b w:val="false"/>
          <w:color w:val="000000"/>
          <w:sz w:val="24"/>
        </w:rPr>
        <w:t xml:space="preserve">. The Fee Letter and the Agent Fee Letter, each, duly executed and delivered by the Company and each of the other parties thereto.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Servicing Agreement and Servicer Consent</w:t>
      </w:r>
      <w:r>
        <w:rPr>
          <w:rFonts w:ascii="Times New Roman;sans-serif" w:hAnsi="Times New Roman;sans-serif"/>
          <w:b w:val="false"/>
          <w:color w:val="000000"/>
          <w:sz w:val="24"/>
        </w:rPr>
        <w:t xml:space="preserve">. Each of the Servicing Agreement and the Servicer Consent, duly executed and delivered by Company, the Servicer and, where applicable, the Security Trustee.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Fees</w:t>
      </w:r>
      <w:r>
        <w:rPr>
          <w:rFonts w:ascii="Times New Roman;sans-serif" w:hAnsi="Times New Roman;sans-serif"/>
          <w:b w:val="false"/>
          <w:color w:val="000000"/>
          <w:sz w:val="24"/>
        </w:rPr>
        <w:t>. Evidence of payment by the Company of the amounts then due and payable under the Agent Fee Letter or under Section 13.02, including the documented and reasonable fees and expenses of Vedder Price P.C., counsel to the Lenders, in connection with the negotiation, preparation, execution and delivery of this Agreement and the other relevant Operative Documents.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(f)    </w:t>
      </w:r>
      <w:r>
        <w:rPr>
          <w:rFonts w:ascii="Times New Roman;sans-serif" w:hAnsi="Times New Roman;sans-serif"/>
          <w:b w:val="false"/>
          <w:color w:val="000000"/>
          <w:sz w:val="24"/>
          <w:u w:val="single"/>
        </w:rPr>
        <w:t>Opinions of Counsel</w:t>
      </w:r>
      <w:r>
        <w:rPr>
          <w:rFonts w:ascii="Times New Roman;sans-serif" w:hAnsi="Times New Roman;sans-serif"/>
          <w:b w:val="false"/>
          <w:color w:val="000000"/>
          <w:sz w:val="24"/>
        </w:rPr>
        <w:t>. Opinions addressed to the Agent and the Lenders, dated the Effective Date of:</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Milbank LLP, special New York counsel to the Company and the Guarantor;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the in-house counsel of the Company and the Guarantor; and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(iii)    Smith, Gambrell &amp; Russell, LLP, counsel to the Servicer.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(g)    </w:t>
      </w:r>
      <w:r>
        <w:rPr>
          <w:rFonts w:ascii="Times New Roman;sans-serif" w:hAnsi="Times New Roman;sans-serif"/>
          <w:b w:val="false"/>
          <w:color w:val="000000"/>
          <w:sz w:val="24"/>
          <w:u w:val="single"/>
        </w:rPr>
        <w:t>Corporate Documents</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(i)    (A) A certificate of the Company and the Guarantor, in each case certified as of the Effective Date, confirming that the Company or the Guarantor, as the case may be, has taken all corporate action necessary to authorize the execution and delivery of the Operative Documents to which it is party required to be executed and delivered on or prior to the Effective Date in accordance with the provisions hereof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28650"/>
                <wp:effectExtent l="0" t="0" r="0" b="0"/>
                <wp:wrapNone/>
                <wp:docPr id="100" name="Frame9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thereof. (B) An incumbency certificate of the Company as to the person or persons authorized to execute and deliver the Operative Documents on behalf of the Company.</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(A) A copy of the articles of incorporation and by-laws of the Guarantor and resolutions of the board of directors of the Guarantor and/or the executive committee thereof, in each case certified as of the Effective Date, by the Secretary or an Assistant Secretary of the Guarantor, duly authorizing the execution, delivery and performance by the Guarantor of the Operative Documents to which it is party required to be executed and delivered by the Guarantor on or prior to the Effective Date in accordance with the provisions hereof and thereof. (B) An incumbency certificate of the Guarantor as to the person or persons authorized to execute and deliver the Operative Documents on behalf of the Guarantor.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(A) A copy of the organizational or constitutional documents of the Servicer and resolutions of the board of directors of the Servicer, in each case certified as of the Effective Date, by a director or officer of the Servicer, duly authorizing the execution, delivery and performance by the Servicer of the Operative Documents to which it is party required to be executed and delivered by the Servicer on or prior to the Effective Date in accordance with the provisions hereof and thereof. (B) An incumbency certificate of the Servicer as to the person or persons authorized to execute and deliver the Operative Documents on behalf of the Servicer.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(iv)    a certificate of an Officer, the Secretary or an Assistant Secretary of UMB Bank, National Association, dated the Effective Date and certifying (A) that attached thereto is a true and complete copy of the organizational/constitutional documents of such Person, (B) that such organizational/ constitutional documents of such Person have not been amended since the date of the certification thereto furnished pursuant to clause (i) above, (C) as to the incumbency and specimen signature of each authorized signatory of Person executing the Operative Documents to which such Person is intended to be a party and each other document to be delivered by such Person from time to time in connection therewith; and (D) evidence authorizing the execution, delivery and performance of the Operative Documents by such Person on or about the date of this Agreement.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(h)    </w:t>
      </w:r>
      <w:r>
        <w:rPr>
          <w:rFonts w:ascii="Times New Roman;sans-serif" w:hAnsi="Times New Roman;sans-serif"/>
          <w:b w:val="false"/>
          <w:color w:val="000000"/>
          <w:sz w:val="24"/>
          <w:u w:val="single"/>
        </w:rPr>
        <w:t>Officer’s Certificate</w:t>
      </w:r>
      <w:r>
        <w:rPr>
          <w:rFonts w:ascii="Times New Roman;sans-serif" w:hAnsi="Times New Roman;sans-serif"/>
          <w:b w:val="false"/>
          <w:color w:val="000000"/>
          <w:sz w:val="24"/>
        </w:rPr>
        <w:t>. A certificate of the Company signed by an authorized officer, dated as of the Effective Date, stating that its representations and warranties set forth in this Agreement are true and correct as of the Effective Date (or, to the extent that any such representation and warranty expressly relates to an earlier date, true and correct as of such earlier date).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Financing Statements</w:t>
      </w:r>
      <w:r>
        <w:rPr>
          <w:rFonts w:ascii="Times New Roman;sans-serif" w:hAnsi="Times New Roman;sans-serif"/>
          <w:b w:val="false"/>
          <w:color w:val="000000"/>
          <w:sz w:val="24"/>
        </w:rPr>
        <w:t>. The Financing Statement in respect of the Mortgage shall have been filed in the office of the Secretary of State of Minnesota.</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(j)    </w:t>
      </w:r>
      <w:r>
        <w:rPr>
          <w:rFonts w:ascii="Times New Roman;sans-serif" w:hAnsi="Times New Roman;sans-serif"/>
          <w:b w:val="false"/>
          <w:color w:val="000000"/>
          <w:sz w:val="24"/>
          <w:u w:val="single"/>
        </w:rPr>
        <w:t>Know Your Customer; Other Documents</w:t>
      </w:r>
      <w:r>
        <w:rPr>
          <w:rFonts w:ascii="Times New Roman;sans-serif" w:hAnsi="Times New Roman;sans-serif"/>
          <w:b w:val="false"/>
          <w:color w:val="000000"/>
          <w:sz w:val="24"/>
        </w:rPr>
        <w:t>. Such other documents as the Security Trustee, the Facility Agent, the Account Bank or any Lender may reasonably request, including any such document or any information as any Lender may reasonably request, in order to satisfy the “know your customer” rules, guidelines, practices or policies observed by the Security Trustee, the Facility Agent, the Account Bank or such Lender (including, without limitation, evidence of the beneficial ownership of the Company and the Guarantor).</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(k)    </w:t>
      </w:r>
      <w:r>
        <w:rPr>
          <w:rFonts w:ascii="Times New Roman;sans-serif" w:hAnsi="Times New Roman;sans-serif"/>
          <w:b w:val="false"/>
          <w:color w:val="000000"/>
          <w:sz w:val="24"/>
          <w:u w:val="single"/>
        </w:rPr>
        <w:t>No Default or Event of Default</w:t>
      </w:r>
      <w:r>
        <w:rPr>
          <w:rFonts w:ascii="Times New Roman;sans-serif" w:hAnsi="Times New Roman;sans-serif"/>
          <w:b w:val="false"/>
          <w:color w:val="000000"/>
          <w:sz w:val="24"/>
        </w:rPr>
        <w:t>. No Default or Event of Default shall have occurred and be continuing.</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28650"/>
                <wp:effectExtent l="0" t="0" r="0" b="0"/>
                <wp:wrapNone/>
                <wp:docPr id="101" name="Frame10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33" w:name="i8f80cd4713b44eeabaf249dd536c3245_262158"/>
      <w:bookmarkEnd w:id="33"/>
      <w:r>
        <w:rPr>
          <w:rFonts w:ascii="Times New Roman;sans-serif" w:hAnsi="Times New Roman;sans-serif"/>
          <w:b w:val="false"/>
          <w:color w:val="000000"/>
          <w:sz w:val="24"/>
        </w:rPr>
        <w:t>6.02    </w:t>
      </w:r>
      <w:r>
        <w:rPr>
          <w:rFonts w:ascii="Times New Roman;sans-serif" w:hAnsi="Times New Roman;sans-serif"/>
          <w:b w:val="false"/>
          <w:color w:val="000000"/>
          <w:sz w:val="24"/>
          <w:u w:val="single"/>
        </w:rPr>
        <w:t>Conditions to a Borrowing</w:t>
      </w:r>
      <w:r>
        <w:rPr>
          <w:rFonts w:ascii="Times New Roman;sans-serif" w:hAnsi="Times New Roman;sans-serif"/>
          <w:b w:val="false"/>
          <w:color w:val="000000"/>
          <w:sz w:val="24"/>
        </w:rPr>
        <w:t>. The obligation of the Facility Agent to disburse a Loan to the Company in accordance with Section 2.02 with respect to any Aircraft on any Funding Date is subject to receipt or waiver in writing by the Facility Agent and each Lender of the following documents (or, as applicable, satisfaction or waiver in writing of the conditions precedent), each of which shall be reasonably satisfactory to the Facility Agent and each Lender in form and substance: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Notice of Borrowing</w:t>
      </w:r>
      <w:r>
        <w:rPr>
          <w:rFonts w:ascii="Times New Roman;sans-serif" w:hAnsi="Times New Roman;sans-serif"/>
          <w:b w:val="false"/>
          <w:color w:val="000000"/>
          <w:sz w:val="24"/>
        </w:rPr>
        <w:t xml:space="preserve">. With respect to such Loan, the Company shall have delivered to the Facility Agent a Notice of Borrowing within the time period required hereunder or such shorter period agreed by the Facility Agent.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 Default or Event of Default</w:t>
      </w:r>
      <w:r>
        <w:rPr>
          <w:rFonts w:ascii="Times New Roman;sans-serif" w:hAnsi="Times New Roman;sans-serif"/>
          <w:b w:val="false"/>
          <w:color w:val="000000"/>
          <w:sz w:val="24"/>
        </w:rPr>
        <w:t>. No Default or Event of Default shall have occurred and be continuing.</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 Lease Event of Default; No Event of Loss</w:t>
      </w:r>
      <w:r>
        <w:rPr>
          <w:rFonts w:ascii="Times New Roman;sans-serif" w:hAnsi="Times New Roman;sans-serif"/>
          <w:b w:val="false"/>
          <w:color w:val="000000"/>
          <w:sz w:val="24"/>
        </w:rPr>
        <w:t xml:space="preserve">. No Lease Event of Default under the relevant Initial Permitted Lease shall have occurred and be continuing. No Event of Loss in respect of such Aircraft shall have occurred.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Mortgage Supplement</w:t>
      </w:r>
      <w:r>
        <w:rPr>
          <w:rFonts w:ascii="Times New Roman;sans-serif" w:hAnsi="Times New Roman;sans-serif"/>
          <w:b w:val="false"/>
          <w:color w:val="000000"/>
          <w:sz w:val="24"/>
        </w:rPr>
        <w:t>. A Mortgage Supplement for such Aircraft, duly executed and delivered by the Company, together in each case with evidence of the perfection and first priority of the Liens created thereby.</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Fee Letter</w:t>
      </w:r>
      <w:r>
        <w:rPr>
          <w:rFonts w:ascii="Times New Roman;sans-serif" w:hAnsi="Times New Roman;sans-serif"/>
          <w:b w:val="false"/>
          <w:color w:val="000000"/>
          <w:sz w:val="24"/>
        </w:rPr>
        <w:t>. With respect to the initial disbursement under this Agreement,</w:t>
      </w:r>
      <w:r>
        <w:rPr>
          <w:color w:val="000000"/>
          <w:u w:val="single"/>
        </w:rPr>
        <w:t xml:space="preserve"> </w:t>
      </w:r>
      <w:r>
        <w:rPr>
          <w:rFonts w:ascii="Times New Roman;sans-serif" w:hAnsi="Times New Roman;sans-serif"/>
          <w:b w:val="false"/>
          <w:color w:val="000000"/>
          <w:sz w:val="24"/>
        </w:rPr>
        <w:t xml:space="preserve">evidence of payment by the Company of the amounts then due and payable under the Fee Letter.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(f)    </w:t>
      </w:r>
      <w:r>
        <w:rPr>
          <w:rFonts w:ascii="Times New Roman;sans-serif" w:hAnsi="Times New Roman;sans-serif"/>
          <w:b w:val="false"/>
          <w:color w:val="000000"/>
          <w:sz w:val="24"/>
          <w:u w:val="single"/>
        </w:rPr>
        <w:t>Local Mortgage Filing</w:t>
      </w:r>
      <w:r>
        <w:rPr>
          <w:rFonts w:ascii="Times New Roman;sans-serif" w:hAnsi="Times New Roman;sans-serif"/>
          <w:b w:val="false"/>
          <w:color w:val="000000"/>
          <w:sz w:val="24"/>
        </w:rPr>
        <w:t>. The interests of the Company (as owner) and the Security Trustee (as mortgagee) in relation to each Aircraft pursuant to the Security Agreement, duly recorded on the Nationality Aircraft Register of the State of Registration pursuant to a Local Mortgage Filing.</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(g)    </w:t>
      </w:r>
      <w:r>
        <w:rPr>
          <w:rFonts w:ascii="Times New Roman;sans-serif" w:hAnsi="Times New Roman;sans-serif"/>
          <w:b w:val="false"/>
          <w:color w:val="000000"/>
          <w:sz w:val="24"/>
          <w:u w:val="single"/>
        </w:rPr>
        <w:t>Deregistration Documents</w:t>
      </w:r>
      <w:r>
        <w:rPr>
          <w:rFonts w:ascii="Times New Roman;sans-serif" w:hAnsi="Times New Roman;sans-serif"/>
          <w:b w:val="false"/>
          <w:color w:val="000000"/>
          <w:sz w:val="24"/>
        </w:rPr>
        <w:t>. Each Deregistration Document (including, for the avoidance of doubt, in respect of each Initial Permitted Lease, an irrevocable deregistration and export request authorization in favor of the Security Trustee) for such Aircraft, duly executed by the relevant Permitted Lessee or the Company, as the case may be.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(h)    </w:t>
      </w:r>
      <w:r>
        <w:rPr>
          <w:rFonts w:ascii="Times New Roman;sans-serif" w:hAnsi="Times New Roman;sans-serif"/>
          <w:b w:val="false"/>
          <w:color w:val="000000"/>
          <w:sz w:val="24"/>
          <w:u w:val="single"/>
        </w:rPr>
        <w:t>Consent and Agreement</w:t>
      </w:r>
      <w:r>
        <w:rPr>
          <w:rFonts w:ascii="Times New Roman;sans-serif" w:hAnsi="Times New Roman;sans-serif"/>
          <w:b w:val="false"/>
          <w:color w:val="000000"/>
          <w:sz w:val="24"/>
        </w:rPr>
        <w:t>. A Consent and Agreement and Engine Consent and Agreement for such Aircraft, each duly executed and delivered by each of the parties thereto.</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    </w:t>
      </w:r>
      <w:r>
        <w:rPr>
          <w:rFonts w:ascii="Times New Roman;sans-serif" w:hAnsi="Times New Roman;sans-serif"/>
          <w:b w:val="false"/>
          <w:color w:val="000000"/>
          <w:sz w:val="24"/>
          <w:u w:val="single"/>
        </w:rPr>
        <w:t>Lease Documents</w:t>
      </w:r>
      <w:r>
        <w:rPr>
          <w:rFonts w:ascii="Times New Roman;sans-serif" w:hAnsi="Times New Roman;sans-serif"/>
          <w:b w:val="false"/>
          <w:color w:val="000000"/>
          <w:sz w:val="24"/>
        </w:rPr>
        <w:t xml:space="preserve">. The relevant Initial Permitted Lease and each other Lease Document for such Aircraft (including each condition precedent delivered under such Initial Permitted Lease).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(j)    </w:t>
      </w:r>
      <w:r>
        <w:rPr>
          <w:rFonts w:ascii="Times New Roman;sans-serif" w:hAnsi="Times New Roman;sans-serif"/>
          <w:b w:val="false"/>
          <w:color w:val="000000"/>
          <w:sz w:val="24"/>
          <w:u w:val="single"/>
        </w:rPr>
        <w:t>Lessee Consent</w:t>
      </w:r>
      <w:r>
        <w:rPr>
          <w:rFonts w:ascii="Times New Roman;sans-serif" w:hAnsi="Times New Roman;sans-serif"/>
          <w:b w:val="false"/>
          <w:color w:val="000000"/>
          <w:sz w:val="24"/>
        </w:rPr>
        <w:t xml:space="preserve">. The Lessee Consent for such Aircraft, duly executed and delivered by the Company, the relevant Permitted Lessee and the Security Trustee.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(k)    </w:t>
      </w:r>
      <w:r>
        <w:rPr>
          <w:rFonts w:ascii="Times New Roman;sans-serif" w:hAnsi="Times New Roman;sans-serif"/>
          <w:b w:val="false"/>
          <w:color w:val="000000"/>
          <w:sz w:val="24"/>
          <w:u w:val="single"/>
        </w:rPr>
        <w:t>Bills of Sale</w:t>
      </w:r>
      <w:r>
        <w:rPr>
          <w:rFonts w:ascii="Times New Roman;sans-serif" w:hAnsi="Times New Roman;sans-serif"/>
          <w:b w:val="false"/>
          <w:color w:val="000000"/>
          <w:sz w:val="24"/>
        </w:rPr>
        <w:t>. Copies of the Bills of Sale for such Aircraft.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(l)    </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The insurance or, if applicable, reinsurance certificate for such Aircraft required by Section E of Annex B of the Mortgage and in form and substance consistent with the requirements of the relevant Initial Permitted Lease and the Lessee Consent.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(m)    </w:t>
      </w:r>
      <w:r>
        <w:rPr>
          <w:rFonts w:ascii="Times New Roman;sans-serif" w:hAnsi="Times New Roman;sans-serif"/>
          <w:b w:val="false"/>
          <w:color w:val="000000"/>
          <w:sz w:val="24"/>
          <w:u w:val="single"/>
        </w:rPr>
        <w:t>Certificate of Airworthiness</w:t>
      </w:r>
      <w:r>
        <w:rPr>
          <w:rFonts w:ascii="Times New Roman;sans-serif" w:hAnsi="Times New Roman;sans-serif"/>
          <w:b w:val="false"/>
          <w:color w:val="000000"/>
          <w:sz w:val="24"/>
        </w:rPr>
        <w:t>. A copy of a current, valid standard certificate of airworthiness for such Aircraft duly issued by the relevant Aviation Authority.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28650"/>
                <wp:effectExtent l="0" t="0" r="0" b="0"/>
                <wp:wrapNone/>
                <wp:docPr id="102" name="Frame10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(n)    </w:t>
      </w:r>
      <w:r>
        <w:rPr>
          <w:rFonts w:ascii="Times New Roman;sans-serif" w:hAnsi="Times New Roman;sans-serif"/>
          <w:b w:val="false"/>
          <w:color w:val="000000"/>
          <w:sz w:val="24"/>
          <w:u w:val="single"/>
        </w:rPr>
        <w:t>Certificate of Registration</w:t>
      </w:r>
      <w:r>
        <w:rPr>
          <w:rFonts w:ascii="Times New Roman;sans-serif" w:hAnsi="Times New Roman;sans-serif"/>
          <w:b w:val="false"/>
          <w:color w:val="000000"/>
          <w:sz w:val="24"/>
        </w:rPr>
        <w:t xml:space="preserve">. A copy of the current and valid certificate of registration for such Aircraft issued by the relevant Aviation Authority.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(o)    </w:t>
      </w:r>
      <w:r>
        <w:rPr>
          <w:rFonts w:ascii="Times New Roman;sans-serif" w:hAnsi="Times New Roman;sans-serif"/>
          <w:b w:val="false"/>
          <w:color w:val="000000"/>
          <w:sz w:val="24"/>
          <w:u w:val="single"/>
        </w:rPr>
        <w:t>Financing Statements</w:t>
      </w:r>
      <w:r>
        <w:rPr>
          <w:rFonts w:ascii="Times New Roman;sans-serif" w:hAnsi="Times New Roman;sans-serif"/>
          <w:b w:val="false"/>
          <w:color w:val="000000"/>
          <w:sz w:val="24"/>
        </w:rPr>
        <w:t>. The Financing Statement in respect of the relevant Mortgage Supplement shall have been filed in the office of the Secretary of State of Minnesota.</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(p)    </w:t>
      </w:r>
      <w:r>
        <w:rPr>
          <w:rFonts w:ascii="Times New Roman;sans-serif" w:hAnsi="Times New Roman;sans-serif"/>
          <w:b w:val="false"/>
          <w:color w:val="000000"/>
          <w:sz w:val="24"/>
          <w:u w:val="single"/>
        </w:rPr>
        <w:t>Cape Town Registrations</w:t>
      </w:r>
      <w:r>
        <w:rPr>
          <w:rFonts w:ascii="Times New Roman;sans-serif" w:hAnsi="Times New Roman;sans-serif"/>
          <w:b w:val="false"/>
          <w:color w:val="000000"/>
          <w:sz w:val="24"/>
        </w:rPr>
        <w:t>. On such Funding Date, there shall have been registered with the International Registry registrations evidencing (A) the international interest (as defined in the Cape Town Convention) with respect to the related Airframe and each associated Engine under the mortgage on such Aircraft, with the Security Trustee, as creditor, and the Company, as debtor, (B) the international interest with respect to such Airframe and such Engine under such Initial Permitted Lease, with the Company, as creditor, and such Permitted Lessee, as debtor, (C) the transfer of the right to discharge relating to the international interest referred to in clause (B) above with the Company, as transferor, and the Security Trustee, as transferee (if applicable), (D) the assignment of international interest with respect to such Airframe and such Engine under the Mortgage (in respect of the international interests (as defined in the Cape Town Convention) under such Initial Permitted Lease), with the Security Trustee, as assignee, and the Company, as assignor and (E) the contract of sale (as defined in the Cape Town Convention) with respect to the relevant Airframe and each associated Engine.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(q)    </w:t>
      </w:r>
      <w:r>
        <w:rPr>
          <w:rFonts w:ascii="Times New Roman;sans-serif" w:hAnsi="Times New Roman;sans-serif"/>
          <w:b w:val="false"/>
          <w:color w:val="000000"/>
          <w:sz w:val="24"/>
          <w:u w:val="single"/>
        </w:rPr>
        <w:t>Lien Searches</w:t>
      </w:r>
      <w:r>
        <w:rPr>
          <w:rFonts w:ascii="Times New Roman;sans-serif" w:hAnsi="Times New Roman;sans-serif"/>
          <w:b w:val="false"/>
          <w:color w:val="000000"/>
          <w:sz w:val="24"/>
        </w:rPr>
        <w:t>. The Company shall have delivered to the Facility Agent all customary and advisable lien searches with respect to such Aircraft with the International Registry and in the State of Registration of such Aircraft and the Company shall have recorded and/or filed and/or registered (or shall have provided for such recording, filing or registration to be made in connection with the applicable Funding Date within a customary period reasonably acceptable to the Facility Agent), as applicable, financing statements and/or termination agreements and/or discharges, as applicable, evidencing the termination of the security interest (other than Permitted Liens) of any other Person shown in such lien searches or otherwise required with respect to such Aircraft.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(r)    </w:t>
      </w:r>
      <w:r>
        <w:rPr>
          <w:rFonts w:ascii="Times New Roman;sans-serif" w:hAnsi="Times New Roman;sans-serif"/>
          <w:b w:val="false"/>
          <w:color w:val="000000"/>
          <w:sz w:val="24"/>
          <w:u w:val="single"/>
        </w:rPr>
        <w:t>Title</w:t>
      </w:r>
      <w:r>
        <w:rPr>
          <w:rFonts w:ascii="Times New Roman;sans-serif" w:hAnsi="Times New Roman;sans-serif"/>
          <w:b w:val="false"/>
          <w:color w:val="000000"/>
          <w:sz w:val="24"/>
        </w:rPr>
        <w:t xml:space="preserve">. The Company shall immediately following such Borrowing have good and marketable title to such Aircraft, free and clear of all Liens other than Permitted Liens.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(s)    </w:t>
      </w:r>
      <w:r>
        <w:rPr>
          <w:rFonts w:ascii="Times New Roman;sans-serif" w:hAnsi="Times New Roman;sans-serif"/>
          <w:b w:val="false"/>
          <w:color w:val="000000"/>
          <w:sz w:val="24"/>
          <w:u w:val="single"/>
        </w:rPr>
        <w:t>Opinions of Counsel</w:t>
      </w:r>
      <w:r>
        <w:rPr>
          <w:rFonts w:ascii="Times New Roman;sans-serif" w:hAnsi="Times New Roman;sans-serif"/>
          <w:b w:val="false"/>
          <w:color w:val="000000"/>
          <w:sz w:val="24"/>
        </w:rPr>
        <w:t>. Opinions addressed to the Agent and the Lenders, dated such Funding Date of:</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Milbank LLP, special New York counsel to the Company and the Guarantor;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the in-house counsel of the Company and the Guarantor;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Al Busaidy Mansoor Jamal &amp; Co., special Omani counsel as to financing matters with respect to the Aircraft; and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(iv)    Curtis, Mallet-Prevost, Colt &amp; Mosle LLP, special Omani counsel as to leasing and registration matters with respect to the Aircraft.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(t)    </w:t>
      </w:r>
      <w:r>
        <w:rPr>
          <w:rFonts w:ascii="Times New Roman;sans-serif" w:hAnsi="Times New Roman;sans-serif"/>
          <w:b w:val="false"/>
          <w:color w:val="000000"/>
          <w:sz w:val="24"/>
          <w:u w:val="single"/>
        </w:rPr>
        <w:t>Officer’s Certificates</w:t>
      </w:r>
      <w:r>
        <w:rPr>
          <w:rFonts w:ascii="Times New Roman;sans-serif" w:hAnsi="Times New Roman;sans-serif"/>
          <w:b w:val="false"/>
          <w:color w:val="000000"/>
          <w:sz w:val="24"/>
        </w:rPr>
        <w:t xml:space="preserve">. A certificate, dated such Funding Date from an officer of the Company, stating that (A) all representations and warranties of the Company set forth in the Operative Documents are true and correct in all material respects as though made on such date, except to the extent such representations and warranties speak as of an earlier time (in which case such representations and warranties are true as of such earlier time) or do not apply according to their own terms and (B) on such Funding Date, no Default or Event of Default has occurred and is continuing and, to the knowledge of the Company, no Lease Event of Default in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28650"/>
                <wp:effectExtent l="0" t="0" r="0" b="0"/>
                <wp:wrapNone/>
                <wp:docPr id="103" name="Frame10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respect of such Aircraft has occurred and is continuing, and in each case would not result from such Borrowing.</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(u)    </w:t>
      </w:r>
      <w:r>
        <w:rPr>
          <w:rFonts w:ascii="Times New Roman;sans-serif" w:hAnsi="Times New Roman;sans-serif"/>
          <w:b w:val="false"/>
          <w:color w:val="000000"/>
          <w:sz w:val="24"/>
          <w:u w:val="single"/>
        </w:rPr>
        <w:t>Organizational Documents</w:t>
      </w:r>
      <w:r>
        <w:rPr>
          <w:rFonts w:ascii="Times New Roman;sans-serif" w:hAnsi="Times New Roman;sans-serif"/>
          <w:b w:val="false"/>
          <w:color w:val="000000"/>
          <w:sz w:val="24"/>
        </w:rPr>
        <w:t>. For each Funding Date to occur after the Effective Date, a “bring-down” certificate of the Director, the Secretary, an Assistant Secretary or other officer of the Company and the Guarantor, dated such Funding Date and certifying that the constitutional documents and the incumbency and specimen signature of each officer of the Company and the Guarantor, certified as true and complete on the Effective Date are true and correct on such Funding Date or the extent that any such documents have been amended since the Funding Date, certifying a copy of such amendment as true and complete on such Funding Date.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 xml:space="preserve">. A copy of the most recent financial statements of the Guarantor and of the relevant Permitted Lessee (if available after using commercially reasonable efforts) (audited to the extent available or unaudited if audited is not available).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(w)    </w:t>
      </w:r>
      <w:r>
        <w:rPr>
          <w:rFonts w:ascii="Times New Roman;sans-serif" w:hAnsi="Times New Roman;sans-serif"/>
          <w:b w:val="false"/>
          <w:color w:val="000000"/>
          <w:sz w:val="24"/>
          <w:u w:val="single"/>
        </w:rPr>
        <w:t>Payment of Fees and Expenses</w:t>
      </w:r>
      <w:r>
        <w:rPr>
          <w:rFonts w:ascii="Times New Roman;sans-serif" w:hAnsi="Times New Roman;sans-serif"/>
          <w:b w:val="false"/>
          <w:color w:val="000000"/>
          <w:sz w:val="24"/>
        </w:rPr>
        <w:t xml:space="preserve">. The Company shall have paid, or have caused the Guarantor to pay, all fees, costs and expenses payable under Section 13.02, in each case then due and payable.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(x)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xml:space="preserve">. Before and immediately after giving effect to such Borrowing and to the application of the proceeds therefrom, the representations and warranties of the Company and the Guarantor contained in the Operative Documents shall be true and correct in all material respects as though made on such Funding Date, except to the extent such representation or warranty specifically states that it relates to an earlier date in which case such representation or warranty shall have been true as of such earlier date.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(y)    </w:t>
      </w:r>
      <w:r>
        <w:rPr>
          <w:rFonts w:ascii="Times New Roman;sans-serif" w:hAnsi="Times New Roman;sans-serif"/>
          <w:b w:val="false"/>
          <w:color w:val="000000"/>
          <w:sz w:val="24"/>
          <w:u w:val="single"/>
        </w:rPr>
        <w:t>No Proceedings</w:t>
      </w:r>
      <w:r>
        <w:rPr>
          <w:rFonts w:ascii="Times New Roman;sans-serif" w:hAnsi="Times New Roman;sans-serif"/>
          <w:b w:val="false"/>
          <w:color w:val="000000"/>
          <w:sz w:val="24"/>
        </w:rPr>
        <w:t>. No action or proceeding shall have been instituted, nor shall any action be threatened in writing, before any Governmental Authority, nor shall any order, judgment or decree have been issued or proposed to be issued by any Governmental Authority, to set aside, restrain, enjoin or prevent the completion and consummation of this Agreement or any other Operative Document or the transactions contemplated hereby or thereby.</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(z)    </w:t>
      </w:r>
      <w:r>
        <w:rPr>
          <w:rFonts w:ascii="Times New Roman;sans-serif" w:hAnsi="Times New Roman;sans-serif"/>
          <w:b w:val="false"/>
          <w:color w:val="000000"/>
          <w:sz w:val="24"/>
          <w:u w:val="single"/>
        </w:rPr>
        <w:t>Equity Funding</w:t>
      </w:r>
      <w:r>
        <w:rPr>
          <w:rFonts w:ascii="Times New Roman;sans-serif" w:hAnsi="Times New Roman;sans-serif"/>
          <w:b w:val="false"/>
          <w:color w:val="000000"/>
          <w:sz w:val="24"/>
        </w:rPr>
        <w:t xml:space="preserve">. The Company shall have funded the balance of proceeds required to effect the purchase of such Aircraft either to the Seller of such Aircraft, or to an agreed escrow agent, and the receipt of such funds has been confirmed to the Facility Agent.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(aa)    </w:t>
      </w:r>
      <w:r>
        <w:rPr>
          <w:rFonts w:ascii="Times New Roman;sans-serif" w:hAnsi="Times New Roman;sans-serif"/>
          <w:b w:val="false"/>
          <w:color w:val="000000"/>
          <w:sz w:val="24"/>
          <w:u w:val="single"/>
        </w:rPr>
        <w:t>Escrow Agreement</w:t>
      </w:r>
      <w:r>
        <w:rPr>
          <w:rFonts w:ascii="Times New Roman;sans-serif" w:hAnsi="Times New Roman;sans-serif"/>
          <w:b w:val="false"/>
          <w:color w:val="000000"/>
          <w:sz w:val="24"/>
        </w:rPr>
        <w:t xml:space="preserve">. Prior to the first Funding Date under this Agreement, the Escrow Agreement, duly executed and delivered by the parties thereto. Prior to each Funding Date, a copy of the relevant “Escrowed Funds Notice”, as delivered under the Escrow Agreement.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(bb)    </w:t>
      </w:r>
      <w:r>
        <w:rPr>
          <w:rFonts w:ascii="Times New Roman;sans-serif" w:hAnsi="Times New Roman;sans-serif"/>
          <w:b w:val="false"/>
          <w:color w:val="000000"/>
          <w:sz w:val="24"/>
          <w:u w:val="single"/>
        </w:rPr>
        <w:t>Government Authority Actions</w:t>
      </w:r>
      <w:r>
        <w:rPr>
          <w:rFonts w:ascii="Times New Roman;sans-serif" w:hAnsi="Times New Roman;sans-serif"/>
          <w:b w:val="false"/>
          <w:color w:val="000000"/>
          <w:sz w:val="24"/>
        </w:rPr>
        <w:t xml:space="preserve">. All appropriate action required to have been taken prior to such Funding Date by any governmental or political agency, subdivision or instrumentality of the United States or of the Sultanate of Oman, in connection with the transactions contemplated by this Agreement shall have been taken, and all orders, permits, waivers, authorizations, exemptions and approvals of such entities required to be in effect on such Funding Date in connection with the transactions contemplated by this Agreement shall have been issued.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(cc)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The Facility Agent shall have received such other information and copies of documents, approvals (if any), certificates, instruments and records (certified where appropriate) of corporate and legal proceedings or in respect of the Company, the Guarantor or the relevant Permitted Lessee or in respect of the Aircraft as the Facility Agent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28650"/>
                <wp:effectExtent l="0" t="0" r="0" b="0"/>
                <wp:wrapNone/>
                <wp:docPr id="104" name="Frame10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may reasonably request not less than three Business Days prior to such Funding Date relating to the entering into and the performance of the Operative Documents and such other documents and evidence with respect to the Company and the Guarantor as may be reasonably requested in order to establish the valid existence and good standing of each thereof, the proper taking of all appropriate corporate or other organizational proceedings or other actions in connection with the transactions contemplated hereby and the compliance with the conditions set forth herein. </w:t>
      </w:r>
    </w:p>
    <w:p>
      <w:pPr>
        <w:pStyle w:val="TextBody"/>
        <w:spacing w:lineRule="auto" w:line="240" w:before="0" w:after="240"/>
        <w:ind w:left="0" w:right="0" w:firstLine="720"/>
        <w:rPr/>
      </w:pPr>
      <w:bookmarkStart w:id="34" w:name="i8f80cd4713b44eeabaf249dd536c3245_262159"/>
      <w:bookmarkEnd w:id="34"/>
      <w:r>
        <w:rPr>
          <w:rFonts w:ascii="Times New Roman;sans-serif" w:hAnsi="Times New Roman;sans-serif"/>
          <w:b w:val="false"/>
          <w:color w:val="000000"/>
          <w:sz w:val="24"/>
        </w:rPr>
        <w:t>6.03    </w:t>
      </w:r>
      <w:r>
        <w:rPr>
          <w:rFonts w:ascii="Times New Roman;sans-serif" w:hAnsi="Times New Roman;sans-serif"/>
          <w:b w:val="false"/>
          <w:color w:val="000000"/>
          <w:sz w:val="24"/>
          <w:u w:val="single"/>
        </w:rPr>
        <w:t>Condition Subsequent</w:t>
      </w:r>
      <w:r>
        <w:rPr>
          <w:rFonts w:ascii="Times New Roman;sans-serif" w:hAnsi="Times New Roman;sans-serif"/>
          <w:b w:val="false"/>
          <w:color w:val="000000"/>
          <w:sz w:val="24"/>
        </w:rPr>
        <w:t>. With respect to any required condition set forth in Section 6.01 or Section 6.02 that is a registration, filing or authorization and delivery of any evidence thereof or any legal opinions with respect thereto, if, as a legal or practical matter (as agreed by the Company and the Facility Agent, each acting reasonably), such condition can only be completed following the occurrence of a Borrowing hereunder, such registration, filing or authorization or delivery of such evidence or opinion shall be completed within the time period advised by applicable counsel and applicable counsel shall provide a written confirmation to the Facility Agent confirming the satisfaction and/or completion of such registration, filing or authorization.</w:t>
      </w:r>
    </w:p>
    <w:p>
      <w:pPr>
        <w:pStyle w:val="TextBody"/>
        <w:spacing w:lineRule="auto" w:line="240" w:before="0" w:after="240"/>
        <w:ind w:left="0" w:right="0" w:firstLine="720"/>
        <w:rPr/>
      </w:pPr>
      <w:bookmarkStart w:id="35" w:name="i8f80cd4713b44eeabaf249dd536c3245_262160"/>
      <w:bookmarkEnd w:id="35"/>
      <w:r>
        <w:rPr>
          <w:rFonts w:ascii="Times New Roman;sans-serif" w:hAnsi="Times New Roman;sans-serif"/>
          <w:b/>
          <w:color w:val="000000"/>
          <w:sz w:val="24"/>
        </w:rPr>
        <w:t>Section 7.</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pPr>
      <w:bookmarkStart w:id="36" w:name="i8f80cd4713b44eeabaf249dd536c3245_262161"/>
      <w:bookmarkEnd w:id="36"/>
      <w:r>
        <w:rPr>
          <w:rFonts w:ascii="Times New Roman;sans-serif" w:hAnsi="Times New Roman;sans-serif"/>
          <w:b w:val="false"/>
          <w:color w:val="000000"/>
          <w:sz w:val="24"/>
        </w:rPr>
        <w:t>7.01    </w:t>
      </w:r>
      <w:r>
        <w:rPr>
          <w:rFonts w:ascii="Times New Roman;sans-serif" w:hAnsi="Times New Roman;sans-serif"/>
          <w:b w:val="false"/>
          <w:color w:val="000000"/>
          <w:sz w:val="24"/>
          <w:u w:val="single"/>
        </w:rPr>
        <w:t>The Company</w:t>
      </w:r>
      <w:r>
        <w:rPr>
          <w:rFonts w:ascii="Times New Roman;sans-serif" w:hAnsi="Times New Roman;sans-serif"/>
          <w:b w:val="false"/>
          <w:color w:val="000000"/>
          <w:sz w:val="24"/>
        </w:rPr>
        <w:t>. The Company represents and warrants, on the Effective Date (solely as to itself and the Operative Documents entered into on or prior to the Effective Date and not with respect to any Aircraft or Lease Documents) and on each Funding Date, to the Agents and the Lenders that: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Organization Qualification</w:t>
      </w:r>
      <w:r>
        <w:rPr>
          <w:rFonts w:ascii="Times New Roman;sans-serif" w:hAnsi="Times New Roman;sans-serif"/>
          <w:b w:val="false"/>
          <w:color w:val="000000"/>
          <w:sz w:val="24"/>
        </w:rPr>
        <w:t>. The Company is a corporation duly incorporated, validly existing and in good standing under the Laws of the State of Minnesota and has the corporate power and authority to conduct the business in which it is currently engaged and to own or hold under lease its properties and to enter into and perform its obligations under the Operative Documents to which it is party. The Company is duly qualified to do business as a foreign corporation in good standing in each jurisdiction in which the nature and extent of the business conducted by it, or the ownership of its properties, requires such qualification, where the failure to be so qualified would materially and adversely affect the ability of the Company to perform its obligations under the Operative Documents.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Corporate Authorization</w:t>
      </w:r>
      <w:r>
        <w:rPr>
          <w:rFonts w:ascii="Times New Roman;sans-serif" w:hAnsi="Times New Roman;sans-serif"/>
          <w:b w:val="false"/>
          <w:color w:val="000000"/>
          <w:sz w:val="24"/>
        </w:rPr>
        <w:t>. The Company has taken, or caused to be taken, all necessary corporate action (including, without limitation, the obtaining of any consent or approval of stockholders required by its articles of incorporation or by-laws) to authorize the execution and delivery of each of the Operative Documents to which it is party, and the performance of its obligations thereunder.</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The execution and delivery by the Company of the Operative Documents to which it is party, the performance by the Company of its obligations thereunder and the consummation by the Company of the transactions contemplated thereby, do not and will not (a) violate any provision of the articles of incorporation or by-laws of the Company, (b) violate any Law applicable to or binding on the Company or (c) violate or constitute any default under (other than any violation or default that would not materially and adversely affect the ability of the Company to perform its obligations under the Operative Documents), or result in the creation of any Lien (other than Permitted Liens) upon the Collateral under, any indenture, mortgage, chattel mortgage, deed of trust, conditional sales contract, lease, loan or other material agreement, instrument or document to which the Company is a party or by which the Company or any of its properties is bound.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Approvals</w:t>
      </w:r>
      <w:r>
        <w:rPr>
          <w:rFonts w:ascii="Times New Roman;sans-serif" w:hAnsi="Times New Roman;sans-serif"/>
          <w:b w:val="false"/>
          <w:color w:val="000000"/>
          <w:sz w:val="24"/>
        </w:rPr>
        <w:t xml:space="preserve">. The execution and delivery by the Company of the Operative Documents to which the Company is a party, the performance by the Company of its obligations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28650"/>
                <wp:effectExtent l="0" t="0" r="0" b="0"/>
                <wp:wrapNone/>
                <wp:docPr id="105" name="Frame10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thereunder and the consummation by the Company of the transactions contemplated thereby do not and will not require the consent or approval of, or the giving of notice to, or the registration with, or the recording or filing of any documents with, or the taking of any other action in respect of, (a) any trustee or other holder of any indebtedness of the Company and (b) any Governmental Authority, other than (x) the filings and registrations expressly contemplated by this Agreement and the other Operative Documents (including any Local Mortgage Filing and any required filings with the FAA) and (y) the filings, recordings, notices or other ministerial actions pursuant to any routine recording, contractual or regulatory requirements applicable to it.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Valid and Binding Agreements</w:t>
      </w:r>
      <w:r>
        <w:rPr>
          <w:rFonts w:ascii="Times New Roman;sans-serif" w:hAnsi="Times New Roman;sans-serif"/>
          <w:b w:val="false"/>
          <w:color w:val="000000"/>
          <w:sz w:val="24"/>
        </w:rPr>
        <w:t>. The Operative Documents to which the Company is a party have been duly authorized, executed and delivered by the Company and, assuming the due authorization, execution and delivery thereof by the other party or parties thereto, constitute the legal, valid and binding obligations of the Company and are enforceable against the Company in accordance with the respective terms thereof, except as such enforceability may be limited by bankruptcy, insolvency, reorganization, receivership, moratorium and other similar Laws affecting the rights of creditors generally and general principles of equity, whether considered in a proceeding at law or in equity.</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(f)    </w:t>
      </w:r>
      <w:r>
        <w:rPr>
          <w:rFonts w:ascii="Times New Roman;sans-serif" w:hAnsi="Times New Roman;sans-serif"/>
          <w:b w:val="false"/>
          <w:color w:val="000000"/>
          <w:sz w:val="24"/>
          <w:u w:val="single"/>
        </w:rPr>
        <w:t>Registration and Recordation</w:t>
      </w:r>
      <w:r>
        <w:rPr>
          <w:rFonts w:ascii="Times New Roman;sans-serif" w:hAnsi="Times New Roman;sans-serif"/>
          <w:b w:val="false"/>
          <w:color w:val="000000"/>
          <w:sz w:val="24"/>
        </w:rPr>
        <w:t>. Except for (a) the taking of any action under local law in respect of the perfection of the Liens created on the relevant Aircraft and/or the relevant Permitted Lease (subject to the terms and conditions of this Agreement), (b) the registration of the International Interest of the Security Trustee in the Airframes and Engines with the International Registry and (c) the filing of the Financing Statements (and continuation statements relating thereto at periodic intervals), no further action, including any filing or recording of any document is necessary in order to establish and perfect Security Trustee’s security interest in any Collateral as against the Company and any other Person, in each case, in any applicable jurisdiction in the United States or the relevant State of Registration.</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(g)    </w:t>
      </w:r>
      <w:r>
        <w:rPr>
          <w:rFonts w:ascii="Times New Roman;sans-serif" w:hAnsi="Times New Roman;sans-serif"/>
          <w:b w:val="false"/>
          <w:color w:val="000000"/>
          <w:sz w:val="24"/>
          <w:u w:val="single"/>
        </w:rPr>
        <w:t>Company’s Location</w:t>
      </w:r>
      <w:r>
        <w:rPr>
          <w:rFonts w:ascii="Times New Roman;sans-serif" w:hAnsi="Times New Roman;sans-serif"/>
          <w:b w:val="false"/>
          <w:color w:val="000000"/>
          <w:sz w:val="24"/>
        </w:rPr>
        <w:t>. The Company’s location (as such term is used in Section 9-307 of the UCC) is Minnesota. The full and correct legal name and mailing address of the Company on the Effective Date are correctly set forth in Section 12.01.</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(h)    </w:t>
      </w:r>
      <w:r>
        <w:rPr>
          <w:rFonts w:ascii="Times New Roman;sans-serif" w:hAnsi="Times New Roman;sans-serif"/>
          <w:b w:val="false"/>
          <w:color w:val="000000"/>
          <w:sz w:val="24"/>
          <w:u w:val="single"/>
        </w:rPr>
        <w:t>No Event of Loss</w:t>
      </w:r>
      <w:r>
        <w:rPr>
          <w:rFonts w:ascii="Times New Roman;sans-serif" w:hAnsi="Times New Roman;sans-serif"/>
          <w:b w:val="false"/>
          <w:color w:val="000000"/>
          <w:sz w:val="24"/>
        </w:rPr>
        <w:t>. On the relevant Funding Date, no Event of Loss has occurred with respect to any Aircraft, and, to the Actual Knowledge of the Company, no circumstance, condition, act or event has occurred that, with the giving of notice or lapse of time or both gives rise to or constitutes an Event of Loss with respect to any Aircraft.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    </w:t>
      </w:r>
      <w:r>
        <w:rPr>
          <w:rFonts w:ascii="Times New Roman;sans-serif" w:hAnsi="Times New Roman;sans-serif"/>
          <w:b w:val="false"/>
          <w:color w:val="000000"/>
          <w:sz w:val="24"/>
          <w:u w:val="single"/>
        </w:rPr>
        <w:t>Regulation</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The Company is a Citizen of the United States and a U.S. Certificated Air Carrier.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The Company holds all licenses, permits and franchises from the appropriate Governmental Authorities necessary to authorize the Company to lawfully engage in air transportation and to carry on scheduled commercial passenger service as currently conducted, where the failure to so hold any such license, permit or franchise would materially and adversely affect the ability of the Company to perform its obligations under the Operative Documents.</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The Company is not (A) required to register as an “investment company” as defined in the Investment Company Act of 1940, as amended, or (B) a “covered fund” as defined in the rules promulgated under Section 619 of the Dodd-Frank Wall Street Reform and Consumer Protection Act.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28650"/>
                <wp:effectExtent l="0" t="0" r="0" b="0"/>
                <wp:wrapNone/>
                <wp:docPr id="106" name="Frame10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(j)    </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 The most recent consolidated annual and quarterly financial statements of the Guarantor provided to the Facility Agent and the Lenders present fairly in all material respects the consolidated financial position of the Guarantor as of the dates indicated and results of income, changes in stockholders’ equity and cash flows of the Guarantor, for the respective periods covered thereby, all in conformity with generally accepted accounting principles applied, except as stated therein, on a consistent basis throughout the entire period involved.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(k)    </w:t>
      </w:r>
      <w:r>
        <w:rPr>
          <w:rFonts w:ascii="Times New Roman;sans-serif" w:hAnsi="Times New Roman;sans-serif"/>
          <w:b w:val="false"/>
          <w:color w:val="000000"/>
          <w:sz w:val="24"/>
          <w:u w:val="single"/>
        </w:rPr>
        <w:t>No Litigation</w:t>
      </w:r>
      <w:r>
        <w:rPr>
          <w:rFonts w:ascii="Times New Roman;sans-serif" w:hAnsi="Times New Roman;sans-serif"/>
          <w:b w:val="false"/>
          <w:color w:val="000000"/>
          <w:sz w:val="24"/>
        </w:rPr>
        <w:t>. There is no litigation, investigation or proceeding pending or, to the best of the Company’s knowledge, threatened by or before any Governmental Authority or arbitrator that (either individually or in the aggregate) could reasonably be expected to materially and adversely affect the ability of the Company to perform its obligations under the Operative Documents.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(l)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Company has filed all material tax returns required to be filed and paid all taxes shown to be due thereon except such as are being contested in good faith by appropriate proceedings and for which adequate reserves have been made to the extent required in accordance with GAAP.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(m)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The Company is in compliance in all material respects with ERISA and the rules and regulations thereunder. The Company has no material unfunded vested liability under any Plan.</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(n)    </w:t>
      </w:r>
      <w:r>
        <w:rPr>
          <w:rFonts w:ascii="Times New Roman;sans-serif" w:hAnsi="Times New Roman;sans-serif"/>
          <w:b w:val="false"/>
          <w:color w:val="000000"/>
          <w:sz w:val="24"/>
          <w:u w:val="single"/>
        </w:rPr>
        <w:t>Ownership of Collateral</w:t>
      </w:r>
      <w:r>
        <w:rPr>
          <w:rFonts w:ascii="Times New Roman;sans-serif" w:hAnsi="Times New Roman;sans-serif"/>
          <w:b w:val="false"/>
          <w:color w:val="000000"/>
          <w:sz w:val="24"/>
        </w:rPr>
        <w:t>. The Company is the sole owner of (and holds good title to) the Collateral, subject only to Permitted Liens.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(o)    </w:t>
      </w:r>
      <w:r>
        <w:rPr>
          <w:rFonts w:ascii="Times New Roman;sans-serif" w:hAnsi="Times New Roman;sans-serif"/>
          <w:b w:val="false"/>
          <w:color w:val="000000"/>
          <w:sz w:val="24"/>
          <w:u w:val="single"/>
        </w:rPr>
        <w:t>Use of Proceeds</w:t>
      </w:r>
      <w:r>
        <w:rPr>
          <w:rFonts w:ascii="Times New Roman;sans-serif" w:hAnsi="Times New Roman;sans-serif"/>
          <w:b w:val="false"/>
          <w:color w:val="000000"/>
          <w:sz w:val="24"/>
        </w:rPr>
        <w:t>. The Company is not engaged principally, or as one of its important activities, in the business of extending credit for the purpose, whether immediate, incidental or ultimate, of buying or carrying “margin stock” within the meaning of Regulation U, and no part of the proceeds of the Loans will be used for the purpose, whether immediate, incidental or ultimate, of buying or carrying any such “margin stock”.</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(p)    </w:t>
      </w:r>
      <w:r>
        <w:rPr>
          <w:rFonts w:ascii="Times New Roman;sans-serif" w:hAnsi="Times New Roman;sans-serif"/>
          <w:b w:val="false"/>
          <w:color w:val="000000"/>
          <w:sz w:val="24"/>
          <w:u w:val="single"/>
        </w:rPr>
        <w:t>Cape Town</w:t>
      </w:r>
      <w:r>
        <w:rPr>
          <w:rFonts w:ascii="Times New Roman;sans-serif" w:hAnsi="Times New Roman;sans-serif"/>
          <w:b w:val="false"/>
          <w:color w:val="000000"/>
          <w:sz w:val="24"/>
        </w:rPr>
        <w:t>. The Company is a Transacting User Entity; is “situated”, for the purposes of the Cape Town Treaty, in the United States; and has the power to “dispose” (as such term is used in the Cape Town Treaty) of each Airframe and Engine. The Bill of Sale for each Aircraft in favor of the Company that is dated on or after March 1, 2006 constitutes a “contract of sale” (as defined in the Cape Town Treaty) for the related Airframe and Engines referenced therein. The Initial Permitted Lease for each Aircraft constitutes an International Interest in such Airframe and Engines. The Mortgage, as supplemented by the Mortgage Supplement in which each such Airframe and Engine is listed, constitutes (i) an International Interest in such Airframe and Engines and (ii) an assignment of “associated rights” in respect of the International Interest in such Airframe and Engines created by the relevant Initial Permitted Lease. Each Airframe and Engine are “aircraft objects” (as defined in the Cape Town Treaty); and each of the United States and Oman (as the initial State of Registration of each Aircraft) is a “contracting state” (as defined in the Cape Town Treaty) under the Cape Town Treaty.</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(q)    </w:t>
      </w:r>
      <w:r>
        <w:rPr>
          <w:rFonts w:ascii="Times New Roman;sans-serif" w:hAnsi="Times New Roman;sans-serif"/>
          <w:b w:val="false"/>
          <w:color w:val="000000"/>
          <w:sz w:val="24"/>
          <w:u w:val="single"/>
        </w:rPr>
        <w:t>Section 1110</w:t>
      </w:r>
      <w:r>
        <w:rPr>
          <w:rFonts w:ascii="Times New Roman;sans-serif" w:hAnsi="Times New Roman;sans-serif"/>
          <w:b w:val="false"/>
          <w:color w:val="000000"/>
          <w:sz w:val="24"/>
        </w:rPr>
        <w:t>. The Security Trustee will be entitled to the benefits of Section 1110 (as currently in effect) with respect to the right to take possession of the Aircraft as provided in the Mortgage in the event of a case under Chapter 11 of the Bankruptcy Code in which Company is a debtor.</w:t>
      </w:r>
    </w:p>
    <w:p>
      <w:pPr>
        <w:pStyle w:val="TextBody"/>
        <w:spacing w:lineRule="auto" w:line="240" w:before="0" w:after="240"/>
        <w:ind w:left="0" w:right="0" w:firstLine="720"/>
        <w:rPr/>
      </w:pPr>
      <w:bookmarkStart w:id="37" w:name="i8f80cd4713b44eeabaf249dd536c3245_262162"/>
      <w:bookmarkEnd w:id="37"/>
      <w:r>
        <w:rPr>
          <w:rFonts w:ascii="Times New Roman;sans-serif" w:hAnsi="Times New Roman;sans-serif"/>
          <w:b w:val="false"/>
          <w:color w:val="000000"/>
          <w:sz w:val="24"/>
        </w:rPr>
        <w:t>7.02    </w:t>
      </w:r>
      <w:r>
        <w:rPr>
          <w:rFonts w:ascii="Times New Roman;sans-serif" w:hAnsi="Times New Roman;sans-serif"/>
          <w:b w:val="false"/>
          <w:color w:val="000000"/>
          <w:sz w:val="24"/>
          <w:u w:val="single"/>
        </w:rPr>
        <w:t>The Guarantor</w:t>
      </w:r>
      <w:r>
        <w:rPr>
          <w:rFonts w:ascii="Times New Roman;sans-serif" w:hAnsi="Times New Roman;sans-serif"/>
          <w:b w:val="false"/>
          <w:color w:val="000000"/>
          <w:sz w:val="24"/>
        </w:rPr>
        <w:t xml:space="preserve">. The Guarantor represents and warrants, on the Effective Date (solely as to itself and the Operative Documents entered into on or prior to the Effective Date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28650"/>
                <wp:effectExtent l="0" t="0" r="0" b="0"/>
                <wp:wrapNone/>
                <wp:docPr id="107" name="Frame10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not with respect to any Aircraft or Lease Documents) and on each Funding Date, to the Agents and the Lenders that: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Organization Qualification</w:t>
      </w:r>
      <w:r>
        <w:rPr>
          <w:rFonts w:ascii="Times New Roman;sans-serif" w:hAnsi="Times New Roman;sans-serif"/>
          <w:b w:val="false"/>
          <w:color w:val="000000"/>
          <w:sz w:val="24"/>
        </w:rPr>
        <w:t>. The Guarantor is a corporation duly incorporated, validly existing and in good standing under the Laws of the State of Minnesota and has the corporate power and authority to conduct the business in which it is currently engaged and to own or hold under lease its properties and to enter into and perform its obligations under the Operative Documents to which it is party. The Guarantor is duly qualified to do business as a foreign corporation in good standing in each jurisdiction in which the nature and extent of the business conducted by it, or the ownership of its properties, requires such qualification, where the failure to be so qualified would materially and adversely affect the ability of the Guarantor to perform its obligations under the Operative Documents.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Corporate Authorization</w:t>
      </w:r>
      <w:r>
        <w:rPr>
          <w:rFonts w:ascii="Times New Roman;sans-serif" w:hAnsi="Times New Roman;sans-serif"/>
          <w:b w:val="false"/>
          <w:color w:val="000000"/>
          <w:sz w:val="24"/>
        </w:rPr>
        <w:t>. The Guarantor has taken, or caused to be taken, all necessary corporate action (including, without limitation, the obtaining of any consent or approval of stockholders required by its articles of incorporation or by-laws) to authorize the execution and delivery of each of the Operative Documents to which it is party, and the performance of its obligations thereunder.</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 Violation</w:t>
      </w:r>
      <w:r>
        <w:rPr>
          <w:rFonts w:ascii="Times New Roman;sans-serif" w:hAnsi="Times New Roman;sans-serif"/>
          <w:b w:val="false"/>
          <w:color w:val="000000"/>
          <w:sz w:val="24"/>
        </w:rPr>
        <w:t>. The execution and delivery by the Guarantor of the Operative Documents to which it is party, the performance by the Guarantor of its obligations thereunder and the consummation by the Guarantor of the transactions contemplated thereby, do not and will not (a) violate any provision of the articles of incorporation or by-laws of the Guarantor, (b) violate any Law applicable to or binding on the Guarantor or (c) violate or constitute any default under (other than any violation or default that would not materially and adversely affect the ability of the Guarantor to perform its obligations under the Operative Documents), or result in the creation of any Lien (other than Permitted Liens) upon the Collateral under, any indenture, mortgage, chattel mortgage, deed of trust, conditional sales contract, lease, loan or other material agreement, instrument or document to which the Guarantor is a party or by which the Guarantor or any of its properties is bound.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Approvals</w:t>
      </w:r>
      <w:r>
        <w:rPr>
          <w:rFonts w:ascii="Times New Roman;sans-serif" w:hAnsi="Times New Roman;sans-serif"/>
          <w:b w:val="false"/>
          <w:color w:val="000000"/>
          <w:sz w:val="24"/>
        </w:rPr>
        <w:t>. The execution and delivery by the Guarantor of the Operative Documents to which the Guarantor is a party, the performance by the Guarantor of its obligations thereunder and the consummation by the Guarantor of the transactions contemplated thereby do not and will not require the consent or approval of, or the giving of notice to, or the registration with, or the recording or filing of any documents with, or the taking of any other action in respect of, (a) any trustee or other holder of any indebtedness of the Guarantor and (b) any Governmental Authority, other than (x) the filings and registrations expressly contemplated by this Agreement and the other Operative Documents and (y) filings, recordings, notices or other ministerial actions pursuant to any routine recording, contractual or regulatory requirements applicable to it.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Valid and Binding Agreements</w:t>
      </w:r>
      <w:r>
        <w:rPr>
          <w:rFonts w:ascii="Times New Roman;sans-serif" w:hAnsi="Times New Roman;sans-serif"/>
          <w:b w:val="false"/>
          <w:color w:val="000000"/>
          <w:sz w:val="24"/>
        </w:rPr>
        <w:t>. The Operative Documents to which the Guarantor is a party have been duly authorized, executed and delivered by the Guarantor and, assuming the due authorization, execution and delivery thereof by the other party or parties thereto, constitute the legal, valid and binding obligations of the Guarantor and are enforceable against the Guarantor in accordance with the respective terms thereof, except as such enforceability may be limited by bankruptcy, insolvency, reorganization, receivership, moratorium and other similar Laws affecting the rights of creditors generally and general principles of equity, whether considered in a proceeding at law or in equity.</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(f)    </w:t>
      </w:r>
      <w:r>
        <w:rPr>
          <w:rFonts w:ascii="Times New Roman;sans-serif" w:hAnsi="Times New Roman;sans-serif"/>
          <w:b w:val="false"/>
          <w:color w:val="000000"/>
          <w:sz w:val="24"/>
          <w:u w:val="single"/>
        </w:rPr>
        <w:t>Financial Statements</w:t>
      </w:r>
      <w:r>
        <w:rPr>
          <w:rFonts w:ascii="Times New Roman;sans-serif" w:hAnsi="Times New Roman;sans-serif"/>
          <w:b w:val="false"/>
          <w:color w:val="000000"/>
          <w:sz w:val="24"/>
        </w:rPr>
        <w:t xml:space="preserve">. The most recent consolidated annual and quarterly financial statements of the Guarantor provided to the Facility Agent and the Lenders present fairly in all material respects the consolidated financial position of the Guarantor as of the dates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8650"/>
                <wp:effectExtent l="0" t="0" r="0" b="0"/>
                <wp:wrapNone/>
                <wp:docPr id="108" name="Frame10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indicated and results of income, changes in stockholders’ equity and cash flows of the Guarantor, for the respective periods covered thereby, all in conformity with generally accepted accounting principles applied, except as stated therein, on a consistent basis throughout the entire period involved.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(g)    </w:t>
      </w:r>
      <w:r>
        <w:rPr>
          <w:rFonts w:ascii="Times New Roman;sans-serif" w:hAnsi="Times New Roman;sans-serif"/>
          <w:b w:val="false"/>
          <w:color w:val="000000"/>
          <w:sz w:val="24"/>
          <w:u w:val="single"/>
        </w:rPr>
        <w:t>No Litigation</w:t>
      </w:r>
      <w:r>
        <w:rPr>
          <w:rFonts w:ascii="Times New Roman;sans-serif" w:hAnsi="Times New Roman;sans-serif"/>
          <w:b w:val="false"/>
          <w:color w:val="000000"/>
          <w:sz w:val="24"/>
        </w:rPr>
        <w:t>. There is no litigation, investigation or proceeding pending or, to the best of the Guarantor’s knowledge, threatened by or before any Governmental Authority or arbitrator that (either individually or in the aggregate) could reasonably be expected to materially and adversely affect the ability of the Guarantor to perform its obligations under the Operative Documents.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(h)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Guarantor has filed all material tax returns required to be filed and paid all taxes shown to be due thereon except such as are being contested in good faith by appropriate proceedings and for which adequate reserves have been made to the extent required in accordance with GAAP.</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    </w:t>
      </w:r>
      <w:r>
        <w:rPr>
          <w:rFonts w:ascii="Times New Roman;sans-serif" w:hAnsi="Times New Roman;sans-serif"/>
          <w:b w:val="false"/>
          <w:color w:val="000000"/>
          <w:sz w:val="24"/>
          <w:u w:val="single"/>
        </w:rPr>
        <w:t>ERISA</w:t>
      </w:r>
      <w:r>
        <w:rPr>
          <w:rFonts w:ascii="Times New Roman;sans-serif" w:hAnsi="Times New Roman;sans-serif"/>
          <w:b w:val="false"/>
          <w:color w:val="000000"/>
          <w:sz w:val="24"/>
        </w:rPr>
        <w:t>. The Guarantor is in compliance in all material respects with ERISA and the rules and regulations thereunder. The Guarantor has no material unfunded vested liability under any Plan.</w:t>
      </w:r>
    </w:p>
    <w:p>
      <w:pPr>
        <w:pStyle w:val="TextBody"/>
        <w:spacing w:lineRule="auto" w:line="240" w:before="0" w:after="240"/>
        <w:ind w:left="0" w:right="0" w:firstLine="720"/>
        <w:rPr/>
      </w:pPr>
      <w:bookmarkStart w:id="38" w:name="i8f80cd4713b44eeabaf249dd536c3245_262163"/>
      <w:bookmarkEnd w:id="38"/>
      <w:r>
        <w:rPr>
          <w:rFonts w:ascii="Times New Roman;sans-serif" w:hAnsi="Times New Roman;sans-serif"/>
          <w:b/>
          <w:color w:val="000000"/>
          <w:sz w:val="24"/>
        </w:rPr>
        <w:t>Section 8.</w:t>
      </w:r>
      <w:r>
        <w:rPr>
          <w:rFonts w:ascii="Times New Roman;sans-serif" w:hAnsi="Times New Roman;sans-serif"/>
          <w:b w:val="false"/>
          <w:color w:val="000000"/>
          <w:sz w:val="24"/>
          <w:u w:val="single"/>
        </w:rPr>
        <w:t>Covenants of the Company</w:t>
      </w:r>
      <w:r>
        <w:rPr>
          <w:rFonts w:ascii="Times New Roman;sans-serif" w:hAnsi="Times New Roman;sans-serif"/>
          <w:b w:val="false"/>
          <w:color w:val="000000"/>
          <w:sz w:val="24"/>
        </w:rPr>
        <w:t>. The Company covenants and agrees with the Lenders and the Agents that, so long as any Loan is outstanding and until payment in full of all amounts payable by the Company hereunder and under the other Operative Documents:</w:t>
      </w:r>
    </w:p>
    <w:p>
      <w:pPr>
        <w:pStyle w:val="TextBody"/>
        <w:spacing w:lineRule="auto" w:line="240" w:before="0" w:after="240"/>
        <w:ind w:left="0" w:right="0" w:firstLine="720"/>
        <w:rPr/>
      </w:pPr>
      <w:bookmarkStart w:id="39" w:name="i8f80cd4713b44eeabaf249dd536c3245_262164"/>
      <w:bookmarkEnd w:id="39"/>
      <w:r>
        <w:rPr>
          <w:rFonts w:ascii="Times New Roman;sans-serif" w:hAnsi="Times New Roman;sans-serif"/>
          <w:b w:val="false"/>
          <w:color w:val="000000"/>
          <w:sz w:val="24"/>
        </w:rPr>
        <w:t>8.01    </w:t>
      </w:r>
      <w:r>
        <w:rPr>
          <w:rFonts w:ascii="Times New Roman;sans-serif" w:hAnsi="Times New Roman;sans-serif"/>
          <w:b w:val="false"/>
          <w:color w:val="000000"/>
          <w:sz w:val="24"/>
          <w:u w:val="single"/>
        </w:rPr>
        <w:t>Corporate Existence, Etc</w:t>
      </w:r>
      <w:r>
        <w:rPr>
          <w:rFonts w:ascii="Times New Roman;sans-serif" w:hAnsi="Times New Roman;sans-serif"/>
          <w:b w:val="false"/>
          <w:color w:val="000000"/>
          <w:sz w:val="24"/>
        </w:rPr>
        <w:t>. The Company will (a) preserve and maintain its corporate existence, except as permitted by Section 8.08, and (b) remain a U.S. Certificated Air Carrier.</w:t>
      </w:r>
    </w:p>
    <w:p>
      <w:pPr>
        <w:pStyle w:val="TextBody"/>
        <w:spacing w:lineRule="auto" w:line="240" w:before="0" w:after="240"/>
        <w:ind w:left="0" w:right="0" w:firstLine="720"/>
        <w:rPr/>
      </w:pPr>
      <w:bookmarkStart w:id="40" w:name="i8f80cd4713b44eeabaf249dd536c3245_262165"/>
      <w:bookmarkEnd w:id="40"/>
      <w:r>
        <w:rPr>
          <w:rFonts w:ascii="Times New Roman;sans-serif" w:hAnsi="Times New Roman;sans-serif"/>
          <w:b w:val="false"/>
          <w:color w:val="000000"/>
          <w:sz w:val="24"/>
        </w:rPr>
        <w:t>8.02    </w:t>
      </w:r>
      <w:r>
        <w:rPr>
          <w:rFonts w:ascii="Times New Roman;sans-serif" w:hAnsi="Times New Roman;sans-serif"/>
          <w:b w:val="false"/>
          <w:color w:val="000000"/>
          <w:sz w:val="24"/>
          <w:u w:val="single"/>
        </w:rPr>
        <w:t>Notice of Change of Location</w:t>
      </w:r>
      <w:r>
        <w:rPr>
          <w:rFonts w:ascii="Times New Roman;sans-serif" w:hAnsi="Times New Roman;sans-serif"/>
          <w:b w:val="false"/>
          <w:color w:val="000000"/>
          <w:sz w:val="24"/>
        </w:rPr>
        <w:t>. The Company will give the Agents timely written notice (but in any event within 30 days prior to the expiration of the period of time specified under applicable Law to prevent lapse of perfection) of any change in its location (as such term is used in Section 9-307 of the UCC) or legal name and will promptly take any action required by Section 3.07(b) of the Mortgage as a result of such relocation.</w:t>
      </w:r>
    </w:p>
    <w:p>
      <w:pPr>
        <w:pStyle w:val="TextBody"/>
        <w:spacing w:lineRule="auto" w:line="240" w:before="0" w:after="240"/>
        <w:ind w:left="0" w:right="0" w:firstLine="720"/>
        <w:rPr/>
      </w:pPr>
      <w:bookmarkStart w:id="41" w:name="i8f80cd4713b44eeabaf249dd536c3245_262166"/>
      <w:bookmarkEnd w:id="41"/>
      <w:r>
        <w:rPr>
          <w:rFonts w:ascii="Times New Roman;sans-serif" w:hAnsi="Times New Roman;sans-serif"/>
          <w:b w:val="false"/>
          <w:color w:val="000000"/>
          <w:sz w:val="24"/>
        </w:rPr>
        <w:t>8.03    </w:t>
      </w:r>
      <w:r>
        <w:rPr>
          <w:rFonts w:ascii="Times New Roman;sans-serif" w:hAnsi="Times New Roman;sans-serif"/>
          <w:b w:val="false"/>
          <w:color w:val="000000"/>
          <w:sz w:val="24"/>
          <w:u w:val="single"/>
        </w:rPr>
        <w:t>Certain Assurances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The Company shall duly execute, acknowledge and deliver, or shall cause to be executed, acknowledged and delivered, all such further agreements, instruments, certificates or documents, and shall do and cause to be done such further acts and things, in any case, as the Security Trustee shall reasonably request for accomplishing the purposes of this Agreement and the other Operative Documents, provided that any instrument or other document so executed by Company will not expand any obligations or limit any rights of Company in respect of the transactions contemplated by any Operative Document.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The Company shall promptly take such action with respect to the recording, filing, re-recording and refiling of any Security Document, as shall be necessary to continue the perfection and priority of the Lien created by such Security Document.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(c)    The Company, at its sole cost and expense, will cause the Financing Statements and all continuation statements (and any amendments necessitated by any combination, consolidation or merger of the Company, or any change in its name or in its state of incorporation) in respect of the Financing Statements to be prepared and, if applicable, subject only to the execution and delivery thereof by the Security Trustee, duly and timely filed and recorded, or filed for recordation, to the extent permitted under the UCC.</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28650"/>
                <wp:effectExtent l="0" t="0" r="0" b="0"/>
                <wp:wrapNone/>
                <wp:docPr id="109" name="Frame10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(d)    If any Aircraft has been registered in a country other than the United States pursuant to the Mortgage, the Company will furnish to the Security Trustee promptly after such registration an opinion of special counsel reasonably satisfactory to the Security Trustee stating that, in the opinion of such counsel, either that (i) such action has been taken with respect to the recording, filing, rerecording and refiling of the Operative Documents and any supplements and amendments thereto as is necessary to establish, perfect and protect the Lien created by the relevant Security Documents, reciting the details of such actions, or (ii) no such action is necessary to maintain the perfection of such Lien.</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(e)    Promptly after the occurrence of an Event of Default resulting from the failure of the Company to make payments on a Payment Date and on every Payment Date while the Event of Default shall be continuing, the Company will, at the Facility Agent’s request from time to time, provide to the Facility Agent a statement setting forth the following information with respect to each Aircraft: (i) whether such Aircraft is currently in service or parked in storage; (ii) the maintenance status of the Aircraft; and (iii) the location of the Engines.</w:t>
      </w:r>
    </w:p>
    <w:p>
      <w:pPr>
        <w:pStyle w:val="TextBody"/>
        <w:spacing w:lineRule="auto" w:line="240" w:before="0" w:after="240"/>
        <w:ind w:left="0" w:right="0" w:firstLine="720"/>
        <w:rPr/>
      </w:pPr>
      <w:bookmarkStart w:id="42" w:name="i8f80cd4713b44eeabaf249dd536c3245_262167"/>
      <w:bookmarkEnd w:id="42"/>
      <w:r>
        <w:rPr>
          <w:rFonts w:ascii="Times New Roman;sans-serif" w:hAnsi="Times New Roman;sans-serif"/>
          <w:b w:val="false"/>
          <w:color w:val="000000"/>
          <w:sz w:val="24"/>
        </w:rPr>
        <w:t>8.04    </w:t>
      </w:r>
      <w:r>
        <w:rPr>
          <w:rFonts w:ascii="Times New Roman;sans-serif" w:hAnsi="Times New Roman;sans-serif"/>
          <w:b w:val="false"/>
          <w:color w:val="000000"/>
          <w:sz w:val="24"/>
          <w:u w:val="single"/>
        </w:rPr>
        <w:t>Financial Statements, Reporting, Notices, Etc</w:t>
      </w:r>
      <w:r>
        <w:rPr>
          <w:rFonts w:ascii="Times New Roman;sans-serif" w:hAnsi="Times New Roman;sans-serif"/>
          <w:b w:val="false"/>
          <w:color w:val="000000"/>
          <w:sz w:val="24"/>
        </w:rPr>
        <w:t>. The Company will provide to the Facility Agent for distribution to the Lenders: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(a)    within 180 days after the end of each fiscal year of the Guarantor, beginning with the fiscal year ending December 31, 2022, the audited consolidated balance sheet and related statements of income, stockholders’ equity and cash flows as of the end of and for such year, setting forth in each case in comparative form the figures for the previous fiscal year,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balance sheet and statements shall be deemed to be distributed upon the date published on the website of the Company or the Guarantor and readily publicly accessible on such website;</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(b)    within 75 days after the end of each of the first three fiscal quarters of each fiscal year of the Guarantor, its consolidated balance sheet and related statements of income and cash flows as of the end of and for such fiscal quarter (in the case of the statement of income) and the then elapsed portion of the fiscal year, setting forth in each case in comparative form the figures for the corresponding period or periods of (or, in the case of the balance sheet, as of the end of) the previous fiscal year, prepared in accordance with GAAP, subject to normal year-end audit adjustments and the absence of footnotes,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balance sheet and statements shall be deemed to be distributed upon the date published on the website of the Company or the Guarantor and readily publicly accessible on such website; and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(c)    promptly after the Company or the Guarantor has Actual Knowledge that a Servicer Termination Event has occurred and is continuing, a notice describing the same in reasonable detail and a copy of any notice issued (i) to the Servicer (x) in connection with any Servicer Termination Event or (y) terminating the Servicer’s appointment in accordance with the Servicing Agreement, in each case contemporaneously with the issuance thereof to the Servicer, or (ii) by the Servicer pursuant to the Servicing Agreement.</w:t>
      </w:r>
    </w:p>
    <w:p>
      <w:pPr>
        <w:pStyle w:val="TextBody"/>
        <w:spacing w:lineRule="auto" w:line="240" w:before="0" w:after="240"/>
        <w:ind w:left="0" w:right="0" w:firstLine="720"/>
        <w:rPr/>
      </w:pPr>
      <w:bookmarkStart w:id="43" w:name="i8f80cd4713b44eeabaf249dd536c3245_262168"/>
      <w:bookmarkEnd w:id="43"/>
      <w:r>
        <w:rPr>
          <w:rFonts w:ascii="Times New Roman;sans-serif" w:hAnsi="Times New Roman;sans-serif"/>
          <w:b w:val="false"/>
          <w:color w:val="000000"/>
          <w:sz w:val="24"/>
        </w:rPr>
        <w:t>8.05    </w:t>
      </w:r>
      <w:r>
        <w:rPr>
          <w:rFonts w:ascii="Times New Roman;sans-serif" w:hAnsi="Times New Roman;sans-serif"/>
          <w:b w:val="false"/>
          <w:color w:val="000000"/>
          <w:sz w:val="24"/>
          <w:u w:val="single"/>
        </w:rPr>
        <w:t>Keeping of Books; Information</w:t>
      </w:r>
      <w:r>
        <w:rPr>
          <w:rFonts w:ascii="Times New Roman;sans-serif" w:hAnsi="Times New Roman;sans-serif"/>
          <w:b w:val="false"/>
          <w:color w:val="000000"/>
          <w:sz w:val="24"/>
        </w:rPr>
        <w:t>. The Company will keep proper books of record and account, in which full and correct entries shall be made of all financial transactions and the assets and business of the Company in accordance with GAAP.</w:t>
      </w:r>
    </w:p>
    <w:p>
      <w:pPr>
        <w:pStyle w:val="TextBody"/>
        <w:spacing w:lineRule="auto" w:line="240" w:before="0" w:after="240"/>
        <w:ind w:left="0" w:right="0" w:firstLine="720"/>
        <w:rPr/>
      </w:pPr>
      <w:bookmarkStart w:id="44" w:name="i8f80cd4713b44eeabaf249dd536c3245_262169"/>
      <w:bookmarkEnd w:id="44"/>
      <w:r>
        <w:rPr>
          <w:rFonts w:ascii="Times New Roman;sans-serif" w:hAnsi="Times New Roman;sans-serif"/>
          <w:b w:val="false"/>
          <w:color w:val="000000"/>
          <w:sz w:val="24"/>
        </w:rPr>
        <w:t>8.06    </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Company will comply in all material respects with the requirements of all applicable laws, rules, regulations and orders of Governmental Authorities, except where the necessity of compliance therewith is being contested in good faith by appropriate proceedings and for which adequate reserves have been made if required in accordance with GAAP or the failure of compliance would not materially and adversely affect the ability of the Company to perform its obligations under the Operative Documents.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8650"/>
                <wp:effectExtent l="0" t="0" r="0" b="0"/>
                <wp:wrapNone/>
                <wp:docPr id="110" name="Frame10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45" w:name="i8f80cd4713b44eeabaf249dd536c3245_262170"/>
      <w:bookmarkEnd w:id="45"/>
      <w:r>
        <w:rPr>
          <w:rFonts w:ascii="Times New Roman;sans-serif" w:hAnsi="Times New Roman;sans-serif"/>
          <w:b w:val="false"/>
          <w:color w:val="000000"/>
          <w:sz w:val="24"/>
        </w:rPr>
        <w:t>8.07    </w:t>
      </w:r>
      <w:r>
        <w:rPr>
          <w:rFonts w:ascii="Times New Roman;sans-serif" w:hAnsi="Times New Roman;sans-serif"/>
          <w:b w:val="false"/>
          <w:color w:val="000000"/>
          <w:sz w:val="24"/>
          <w:u w:val="single"/>
        </w:rPr>
        <w:t>Negative Pledge</w:t>
      </w:r>
      <w:r>
        <w:rPr>
          <w:rFonts w:ascii="Times New Roman;sans-serif" w:hAnsi="Times New Roman;sans-serif"/>
          <w:b w:val="false"/>
          <w:color w:val="000000"/>
          <w:sz w:val="24"/>
        </w:rPr>
        <w:t>. Neither the Guarantor nor the Company will create, assume or suffer to exist any Lien on any Collateral, whether now owned or hereafter acquired by it, except Permitted Liens.</w:t>
      </w:r>
    </w:p>
    <w:p>
      <w:pPr>
        <w:pStyle w:val="TextBody"/>
        <w:spacing w:lineRule="auto" w:line="240" w:before="0" w:after="240"/>
        <w:ind w:left="0" w:right="0" w:firstLine="720"/>
        <w:rPr/>
      </w:pPr>
      <w:bookmarkStart w:id="46" w:name="i8f80cd4713b44eeabaf249dd536c3245_262171"/>
      <w:bookmarkEnd w:id="46"/>
      <w:r>
        <w:rPr>
          <w:rFonts w:ascii="Times New Roman;sans-serif" w:hAnsi="Times New Roman;sans-serif"/>
          <w:b w:val="false"/>
          <w:color w:val="000000"/>
          <w:sz w:val="24"/>
        </w:rPr>
        <w:t>8.08    </w:t>
      </w:r>
      <w:r>
        <w:rPr>
          <w:rFonts w:ascii="Times New Roman;sans-serif" w:hAnsi="Times New Roman;sans-serif"/>
          <w:b w:val="false"/>
          <w:color w:val="000000"/>
          <w:sz w:val="24"/>
          <w:u w:val="single"/>
        </w:rPr>
        <w:t>Mergers, Consolidations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Neither the Company nor the Guarantor shall consolidate with or merge into any other Person or convey, transfer or lease in one or more transactions all or substantially all of its assets to any other Person without the prior written consent of all of the Lenders (not to be unreasonably withheld), unless (i) such consolidation, merger, conveyance, transfer or lease shall not adversely affect the right, title and interest of the Company in and to the Aircraft or the Liens of the Security Trustee, in each case in the opinion of the Security Trustee, (ii) the financial condition of the Company and/or the Guarantor, as the case may be, after such consolidation, merger, conveyance, transfer or lease shall be no worse than that of the Company and/or the Guarantor, as the case may be, as set forth in the most recent financial statements of the Guarantor delivered to the Facility Agent under Section 8.04(a) or (b) and (iii) immediately after giving effect to such transaction, no Default or Event of Default shall have occurred and be continuing.</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Upon any such consolidation or merger of the Company or the Guarantor with or into, or the conveyance, transfer or lease by the Company or the Guarantor of all or substantially all of its assets to, any Person in accordance with this Section 8.08, such Person will succeed to, and be substituted for, and may exercise every right and power of, the Company and the Guarantor, as the case may be, under the Operative Documents with the same effect as if such Person had been named as “the Company” and/or “the Guarantor”, as the case may be, therein. In the event of any such conveyance, transfer or lease, the Company and/or the Guarantor, as the case may be, or any successor Person that shall have become such in the manner prescribed in this Section 8.08 shall be released and discharged from its liability in respect of the Mortgage and the other Operative Documents.</w:t>
      </w:r>
    </w:p>
    <w:p>
      <w:pPr>
        <w:pStyle w:val="TextBody"/>
        <w:spacing w:lineRule="auto" w:line="240" w:before="0" w:after="240"/>
        <w:ind w:left="0" w:right="0" w:firstLine="720"/>
        <w:rPr/>
      </w:pPr>
      <w:bookmarkStart w:id="47" w:name="i8f80cd4713b44eeabaf249dd536c3245_262172"/>
      <w:bookmarkEnd w:id="47"/>
      <w:r>
        <w:rPr>
          <w:rFonts w:ascii="Times New Roman;sans-serif" w:hAnsi="Times New Roman;sans-serif"/>
          <w:b w:val="false"/>
          <w:color w:val="000000"/>
          <w:sz w:val="24"/>
        </w:rPr>
        <w:t>8.09    </w:t>
      </w:r>
      <w:r>
        <w:rPr>
          <w:rFonts w:ascii="Times New Roman;sans-serif" w:hAnsi="Times New Roman;sans-serif"/>
          <w:b w:val="false"/>
          <w:color w:val="000000"/>
          <w:sz w:val="24"/>
          <w:u w:val="single"/>
        </w:rPr>
        <w:t>Appraisals</w:t>
      </w:r>
      <w:r>
        <w:rPr>
          <w:rFonts w:ascii="Times New Roman;sans-serif" w:hAnsi="Times New Roman;sans-serif"/>
          <w:b w:val="false"/>
          <w:color w:val="000000"/>
          <w:sz w:val="24"/>
        </w:rPr>
        <w:t>. Upon the occurrence of either (a) a Lease Event of Default under the Initial Permitted Lease for an Aircraft that is continuing for 180 consecutive days or (b) the expiration or early termination of the Initial Permitted Lease for such Aircraft (for the purposes of this Section 8.09, an “</w:t>
      </w:r>
      <w:r>
        <w:rPr>
          <w:rFonts w:ascii="Times New Roman;sans-serif" w:hAnsi="Times New Roman;sans-serif"/>
          <w:b/>
          <w:color w:val="000000"/>
          <w:sz w:val="24"/>
        </w:rPr>
        <w:t>Appraisal Event</w:t>
      </w:r>
      <w:r>
        <w:rPr>
          <w:color w:val="000000"/>
        </w:rPr>
        <w:t>”</w:t>
      </w:r>
      <w:r>
        <w:rPr>
          <w:rFonts w:ascii="Times New Roman;sans-serif" w:hAnsi="Times New Roman;sans-serif"/>
          <w:b w:val="false"/>
          <w:color w:val="000000"/>
          <w:sz w:val="24"/>
        </w:rPr>
        <w:t xml:space="preserve">), the Company shall provide the Facility Agent with (i) the Appraised Value for such Aircraft and (ii) the appraisal from Ascend by Cirium for such Aircraft, which specifies such Appraised Value. Such Appraised Value shall have been determined not more than 60 days prior to the occurrence of such Appraisal Event. </w:t>
      </w:r>
    </w:p>
    <w:p>
      <w:pPr>
        <w:pStyle w:val="TextBody"/>
        <w:spacing w:lineRule="auto" w:line="240" w:before="0" w:after="240"/>
        <w:ind w:left="0" w:right="0" w:firstLine="720"/>
        <w:rPr/>
      </w:pPr>
      <w:bookmarkStart w:id="48" w:name="i8f80cd4713b44eeabaf249dd536c3245_262173"/>
      <w:bookmarkEnd w:id="48"/>
      <w:r>
        <w:rPr>
          <w:rFonts w:ascii="Times New Roman;sans-serif" w:hAnsi="Times New Roman;sans-serif"/>
          <w:b w:val="false"/>
          <w:color w:val="000000"/>
          <w:sz w:val="24"/>
        </w:rPr>
        <w:t>8.10    </w:t>
      </w:r>
      <w:r>
        <w:rPr>
          <w:rFonts w:ascii="Times New Roman;sans-serif" w:hAnsi="Times New Roman;sans-serif"/>
          <w:b w:val="false"/>
          <w:color w:val="000000"/>
          <w:sz w:val="24"/>
          <w:u w:val="single"/>
        </w:rPr>
        <w:t>Dispositions</w:t>
      </w:r>
      <w:r>
        <w:rPr>
          <w:rFonts w:ascii="Times New Roman;sans-serif" w:hAnsi="Times New Roman;sans-serif"/>
          <w:b w:val="false"/>
          <w:color w:val="000000"/>
          <w:sz w:val="24"/>
        </w:rPr>
        <w:t>. The Company shall not: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effect any Disposition unless no Event of Default shall have occurred and be continuing at the time of, or would immediately result from, such Disposition;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sell, transfer, exchange or otherwise dispose of any other Collateral except as otherwise permitted by the Operative Documents.</w:t>
      </w:r>
    </w:p>
    <w:p>
      <w:pPr>
        <w:pStyle w:val="TextBody"/>
        <w:spacing w:lineRule="auto" w:line="240" w:before="0" w:after="240"/>
        <w:ind w:left="0" w:right="0" w:firstLine="720"/>
        <w:rPr/>
      </w:pPr>
      <w:bookmarkStart w:id="49" w:name="i8f80cd4713b44eeabaf249dd536c3245_262174"/>
      <w:bookmarkEnd w:id="49"/>
      <w:r>
        <w:rPr>
          <w:rFonts w:ascii="Times New Roman;sans-serif" w:hAnsi="Times New Roman;sans-serif"/>
          <w:b w:val="false"/>
          <w:color w:val="000000"/>
          <w:sz w:val="24"/>
        </w:rPr>
        <w:t>8.11    </w:t>
      </w:r>
      <w:r>
        <w:rPr>
          <w:rFonts w:ascii="Times New Roman;sans-serif" w:hAnsi="Times New Roman;sans-serif"/>
          <w:b w:val="false"/>
          <w:color w:val="000000"/>
          <w:sz w:val="24"/>
          <w:u w:val="single"/>
        </w:rPr>
        <w:t>Letters of Credit</w:t>
      </w:r>
      <w:r>
        <w:rPr>
          <w:rFonts w:ascii="Times New Roman;sans-serif" w:hAnsi="Times New Roman;sans-serif"/>
          <w:b w:val="false"/>
          <w:color w:val="000000"/>
          <w:sz w:val="24"/>
        </w:rPr>
        <w:t>. To the extent an Initial Permitted Lessee provides the Company with a letter of credit under any Initial Permitted Lease in substitution for any Security Deposit, EOL Compensation or Maintenance Reserves required to be paid thereunder (a “</w:t>
      </w:r>
      <w:r>
        <w:rPr>
          <w:rFonts w:ascii="Times New Roman;sans-serif" w:hAnsi="Times New Roman;sans-serif"/>
          <w:b/>
          <w:color w:val="000000"/>
          <w:sz w:val="24"/>
        </w:rPr>
        <w:t>Letter of Credit</w:t>
      </w:r>
      <w:r>
        <w:rPr>
          <w:color w:val="000000"/>
        </w:rPr>
        <w:t>”</w:t>
      </w:r>
      <w:r>
        <w:rPr>
          <w:rFonts w:ascii="Times New Roman;sans-serif" w:hAnsi="Times New Roman;sans-serif"/>
          <w:b w:val="false"/>
          <w:color w:val="000000"/>
          <w:sz w:val="24"/>
        </w:rPr>
        <w:t xml:space="preserve">), such Letter of Credit shall be provided to the Company as soon as reasonably practicable following the acquisition of the relevant Aircraft by the Company on the relevant Funding Date. The Security Trustee shall hold the original of any Letter of Credit, whether or not it is then in the name of the Company, and, so long as no Event of Default has occurred and is continuing, the Security Trustee shall act at the direction of the Company with respect to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8650"/>
                <wp:effectExtent l="0" t="0" r="0" b="0"/>
                <wp:wrapNone/>
                <wp:docPr id="111" name="Frame11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decision whether to present such Letter of Credit (when permitted in accordance with its terms and with the terms of such Permitted Lease);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Letter of Credit is expiring and no replacement of such Letter of Credit has been provided to the Company on or prior to the expiration date of such Letter of Credit, such Letter of Credit may be presented by the Security Trustee without the consent of the Company. Following the occurrence of an Event of Default and for so long as such Event of Default is continuing, (i) the Company shall promptly provide any transfer documentation, duly completed, required to transfer such Letter of Credit to the Security Trustee and (ii) the Security Trustee may present such Letter of Credit when permitted in accordance with its terms and with the terms of such Permitted Lease without the consent of the Company. Pending the provision of a Letter of Credit in favor of the Company (or the Security Trustee, as applicable) under each Initial Permitted Lease, an amount equal to the amount of the Letters of Credit required under such Initial Permitted Lease the subject of the relevant Loan shall be held back by the Company from the Purchase Price for the relevant Aircraft payable the Company under the Sale Agreement (for such Aircraft, the “</w:t>
      </w:r>
      <w:r>
        <w:rPr>
          <w:rFonts w:ascii="Times New Roman;sans-serif" w:hAnsi="Times New Roman;sans-serif"/>
          <w:b/>
          <w:color w:val="000000"/>
          <w:sz w:val="24"/>
        </w:rPr>
        <w:t>LC Holdback Amount</w:t>
      </w:r>
      <w:r>
        <w:rPr>
          <w:color w:val="000000"/>
        </w:rPr>
        <w:t>”</w:t>
      </w:r>
      <w:r>
        <w:rPr>
          <w:rFonts w:ascii="Times New Roman;sans-serif" w:hAnsi="Times New Roman;sans-serif"/>
          <w:b w:val="false"/>
          <w:color w:val="000000"/>
          <w:sz w:val="24"/>
        </w:rPr>
        <w:t>) and the Company shall cause such LC Holdback Amount to have been funded into and to remain in the Escrow Account subject to the terms of the Escrow Agreement. At such time as any LC Holdback Amount is required to be transferred from the Escrow Account to an account of the Facility Agent pursuant to the terms of the Escrow Agreement, the Facility Agent (acting at the direction of the Majority Lenders) shall issue its notice of distribution under the Escrow Agreement to cause such LC Holdback Amount to be immediately deposited in the Collections Account and, if such amount is not so transferred or is not available in the Escrow Account (notwithstanding the requirements of the Escrow Agreement) the Company shall fund such amount to the Collections Account as an independent obligation. Once deposited in the Collections Account, the Security Trustee shall release any LC Holdback Amount from the Collections Account at the direction of the Lenders, who shall provide such direction (i) at their discretion to apply such LC Holdback Amount in accordance herewith during the continuation of an Event of Default; and (ii) upon request of the Company upon provision of a Letter of Credit in accordance with the foregoing provisions of this Section 8.11. For the avoidance of doubt, notwithstanding anything to the contrary contained herein, any LC Holdback Amount shall not be applied in accordance with the waterfall provisions hereof, and shall only be applied as specified above. All proceeds of any drawing on a Letter of Credit shall be deposited in the Collections Account.</w:t>
      </w:r>
    </w:p>
    <w:p>
      <w:pPr>
        <w:pStyle w:val="TextBody"/>
        <w:spacing w:lineRule="auto" w:line="240" w:before="0" w:after="240"/>
        <w:ind w:left="0" w:right="0" w:firstLine="720"/>
        <w:rPr/>
      </w:pPr>
      <w:bookmarkStart w:id="50" w:name="i8f80cd4713b44eeabaf249dd536c3245_262175"/>
      <w:bookmarkEnd w:id="50"/>
      <w:r>
        <w:rPr>
          <w:rFonts w:ascii="Times New Roman;sans-serif" w:hAnsi="Times New Roman;sans-serif"/>
          <w:b w:val="false"/>
          <w:color w:val="000000"/>
          <w:sz w:val="24"/>
        </w:rPr>
        <w:t>8.12    </w:t>
      </w:r>
      <w:r>
        <w:rPr>
          <w:rFonts w:ascii="Times New Roman;sans-serif" w:hAnsi="Times New Roman;sans-serif"/>
          <w:b w:val="false"/>
          <w:color w:val="000000"/>
          <w:sz w:val="24"/>
          <w:u w:val="single"/>
        </w:rPr>
        <w:t>KYC</w:t>
      </w:r>
      <w:r>
        <w:rPr>
          <w:rFonts w:ascii="Times New Roman;sans-serif" w:hAnsi="Times New Roman;sans-serif"/>
          <w:b w:val="false"/>
          <w:color w:val="000000"/>
          <w:sz w:val="24"/>
        </w:rPr>
        <w:t>. The Company shall provide, or shall cause the Guarantor or the Servicer to provide, from time to time such documents as the Security Trustee, the Facility Agent, the Account Bank or any Lender may reasonably request, in order to satisfy the “know your customer” rules, guidelines, practices or policies observed by the Security Trustee, the Facility Agent, the Account Bank or such Lender.</w:t>
      </w:r>
    </w:p>
    <w:p>
      <w:pPr>
        <w:pStyle w:val="TextBody"/>
        <w:spacing w:lineRule="auto" w:line="240" w:before="0" w:after="240"/>
        <w:ind w:left="0" w:right="0" w:firstLine="720"/>
        <w:rPr/>
      </w:pPr>
      <w:bookmarkStart w:id="51" w:name="i8f80cd4713b44eeabaf249dd536c3245_262176"/>
      <w:bookmarkEnd w:id="51"/>
      <w:r>
        <w:rPr>
          <w:rFonts w:ascii="Times New Roman;sans-serif" w:hAnsi="Times New Roman;sans-serif"/>
          <w:b w:val="false"/>
          <w:color w:val="000000"/>
          <w:sz w:val="24"/>
        </w:rPr>
        <w:t>8.13    </w:t>
      </w:r>
      <w:r>
        <w:rPr>
          <w:rFonts w:ascii="Times New Roman;sans-serif" w:hAnsi="Times New Roman;sans-serif"/>
          <w:b w:val="false"/>
          <w:color w:val="000000"/>
          <w:sz w:val="24"/>
          <w:u w:val="single"/>
        </w:rPr>
        <w:t>Servicer</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(a)    At any time when an Event of Default has occurred and is continuing and the Facility Agent or the Security Trustee has commenced exercising its remedies in respect thereof by accelerating the Loans or foreclosing on any Collateral, the Security Trustee may terminate the Servicing Agreement as described in the Servicer Consent.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(b)    At all times while the Servicing Agreement is in effect, the Company shall comply with its obligations under the Servicing Agreement.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(c)    Upon the expiration or early termination of any Initial Permitted Lease, the Servicer shall no longer act as servicer with respect to such Initial Permitted Lease and the Servicing Agreement shall terminate in respect of such Initial Permitted Lease.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8650"/>
                <wp:effectExtent l="0" t="0" r="0" b="0"/>
                <wp:wrapNone/>
                <wp:docPr id="112" name="Frame11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52" w:name="i8f80cd4713b44eeabaf249dd536c3245_262177"/>
      <w:bookmarkEnd w:id="52"/>
      <w:r>
        <w:rPr>
          <w:rFonts w:ascii="Times New Roman;sans-serif" w:hAnsi="Times New Roman;sans-serif"/>
          <w:b/>
          <w:color w:val="000000"/>
          <w:sz w:val="24"/>
        </w:rPr>
        <w:t>Section 9.</w:t>
      </w:r>
      <w:r>
        <w:rPr>
          <w:rFonts w:ascii="Times New Roman;sans-serif" w:hAnsi="Times New Roman;sans-serif"/>
          <w:b w:val="false"/>
          <w:color w:val="000000"/>
          <w:sz w:val="24"/>
          <w:u w:val="single"/>
        </w:rPr>
        <w:t>Events of Default</w:t>
      </w:r>
      <w:r>
        <w:rPr>
          <w:rFonts w:ascii="Times New Roman;sans-serif" w:hAnsi="Times New Roman;sans-serif"/>
          <w:b w:val="false"/>
          <w:color w:val="000000"/>
          <w:sz w:val="24"/>
        </w:rPr>
        <w:t>. If one or more of the following events (herein called “</w:t>
      </w:r>
      <w:r>
        <w:rPr>
          <w:rFonts w:ascii="Times New Roman;sans-serif" w:hAnsi="Times New Roman;sans-serif"/>
          <w:b/>
          <w:color w:val="000000"/>
          <w:sz w:val="24"/>
        </w:rPr>
        <w:t>Events of Default</w:t>
      </w:r>
      <w:r>
        <w:rPr>
          <w:color w:val="000000"/>
        </w:rPr>
        <w:t>”</w:t>
      </w:r>
      <w:r>
        <w:rPr>
          <w:rFonts w:ascii="Times New Roman;sans-serif" w:hAnsi="Times New Roman;sans-serif"/>
          <w:b w:val="false"/>
          <w:color w:val="000000"/>
          <w:sz w:val="24"/>
        </w:rPr>
        <w:t>) shall occur and be continuing:</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The Company shall fail to make any payment of principal of or interest on the Loan payable by it to any Lender hereunder or any other Loan Document when due and such failure shall continue for a period of five Business Days after the same shall have become due hereunder or thereunder;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The Company or the Guarantor shall fail to pay any other amount payable hereunder or under any other Operative Document when due and such failure shall continue for a period of ten Business Days after receipt by the Company of written notice that such payment is overdue given to the Company by any Agent;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(c)    Any representation or warranty made by the Company or the Guarantor herein or any other Operative Document shall prove to have been incorrect in any material respect when made, such incorrect representation or warranty is material at the time in question, and, if curable, the same shall remain uncured (to the extent of the adverse impact of such incorrectness on the interest of the Lenders) for a period in excess of 60 days from and after the earlier of (x) the Company’s or the Guarantor’s, as the case may be, Actual Knowledge thereof and (y) the date of written notice thereof from any Agent;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(d)    The Company shall fail to carry and maintain, or cause to be carried and maintained, insurance on and in respect of any Aircraft, Airframe or any Engine in accordance with the provisions of Section 3.06 of the Mortgage;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(e)    The Company or the Guarantor shall default in the performance of its respective obligations under Sections 8.11 and 13.15 of this Agreement and such default, if curable, shall continue unremedied for five Business Days from the earlier of (x) the Company’s or the Guarantor’s, as the case may be, Actual Knowledge thereof and (y) the date of written notice thereof from any Agent;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(f)    The Company or the Guarantor shall fail to perform or observe any other term, covenant or agreement contained in this Agreement or any other Operative Document on its part to be performed or observed and such failure shall remain unremedied for a period of 60 days after the earlier of (x) the Company’s or the Guarantor’s, as the case maybe, Actual Knowledge thereof and (y) the date of written notice thereof from any Agent;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(g)    The Company or the Guarantor shall consent to the appointment of or the taking of possession by a receiver, trustee or liquidator of itself or of substantially all of its Property, or the Company or the Guarantor shall admit in writing its inability to pay its debts generally as they come due, or does not pay its debts generally as they become due or shall make a general assignment for the benefit of creditors, or the Company or the Guarantor shall file a voluntary petition in bankruptcy or a voluntary petition or an answer seeking reorganization, liquidation or other relief in a case under any bankruptcy laws or other insolvency laws (as in effect at such time), or the Company or the Guarantor shall seek relief by voluntary petition, answer or consent, under the provisions of any other bankruptcy or other similar law providing for the reorganization or winding-up of corporations (as in effect at such time) or the Company’s or the Guarantor’s board of directors shall adopt a resolution authorizing any of the foregoing;</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(h)    An order, judgment or decree shall be entered by any court of competent jurisdiction appointing, without the consent of the Company or the Guarantor, a receiver, trustee or liquidator of the Company or the Guarantor, as the case may be, or of substantially all of its Property, or substantially all of the Property of the Company or the Guarantor, as the case may be, shall be sequestered, and any such order, judgment or decree of appointment or sequestration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8650"/>
                <wp:effectExtent l="0" t="0" r="0" b="0"/>
                <wp:wrapNone/>
                <wp:docPr id="113" name="Frame11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shall remain in force undismissed, unstayed and unvacated for a period of 75 days after the date of entry thereof; or a petition against the Company or the Guarantor, as the case may be, in a case under any bankruptcy laws or other insolvency laws (as in effect at such time) is filed and not withdrawn or dismissed within 75 days thereafter, or if, under the provisions of any law providing for reorganization or winding-up of corporations which may apply to the Company or the Guarantor, as the case may be, any court of competent jurisdiction assumes jurisdiction, custody or control of the Company or the Guarantor, as the case may be, or of substantially all of its Property and such jurisdiction, custody or control remains in force unrelinquished, unstayed and unterminated for a period of 75 days;</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the Company shall (i) cease to be a U.S. Certificated Air Carrier as a result of the revocation of the Company’s air carrier operating certificate or such operating certificate shall have been suspended and such suspension shall not have been terminated within a period of five Business Days thereafter, or (ii) cease to hold a certificate of public convenience and necessity issued under Subtitle VII of Title 49 of the United States Code (or any equivalent successor authorization);</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(j)    the validity or enforceability of any Loan Document shall be contested by the Company or any Related Party of the Company or the validity, perfection or priority of the Liens created by the Security Documents shall be contested by the Company or any Related Party;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(k)    the Liens created by the Security Documents shall at any time not constitute a valid and perfected Lien on the Collateral intended to be covered thereby (to the extent perfection by filing, registration, recordation or possession is required herein or therein) in favor of the Secured Parties to secure the Obligations, free and clear of all other Liens (other than Permitted Liens) or, except for termination or expiration in accordance with its terms or termination in accordance herewith, any of the Security Documents shall for whatever reason be terminated or cease to be in full force and effect or the enforceability thereof shall be contested by the Company and such breach shall remain unremedied for a period of 10 Business Days after the earlier of (x) the Company’s or the Guarantor’s, as the case maybe, Actual Knowledge of such breach and (y) the date of written notice of such breach from any Agent; then, if an Event of Default referred to in clause (g) or (h) of this Section 9 shall have occurred and be continuing, and in every such case, the principal of the Loans then outstanding, together with interest accrued but unpaid thereon and all other amounts owing to the Agents and any Lender hereunder or under any other Operative Document, shall immediately and without further act become due and payable, without presentment, demand, protest or notice of any kind, all of which are hereby expressly waived by the Company and, if any other Event of Default shall have occurred and be continuing, then the Facility Agent shall, upon request of the Majority Lenders, by notice to the Company, declare the principal of the Loans then outstanding, together with interest accrued but unpaid thereon and all other amounts owing to the Agents and any Lender hereunder or under any other Operative Document, to be forthwith due and payable, whereupon the Loans, all such interest and all other amounts shall become and be forthwith due and payable, without presentment, demand, protest or further notice of any kind, all of which are hereby expressly waived by the Company. In addition to any other remedies available to the Agents and the Lenders under the Operative Documents or at law or otherwise, if an Event of Default shall have occurred and so long as the same shall be continuing unremedied, then and in every such case, the Security Trustee, acting at the direction of the Majority Lenders, may exercise any or all of the rights and powers and pursue any and all of the remedies set forth in the Security Documents.</w:t>
      </w:r>
    </w:p>
    <w:p>
      <w:pPr>
        <w:pStyle w:val="TextBody"/>
        <w:spacing w:lineRule="auto" w:line="240" w:before="0" w:after="240"/>
        <w:ind w:left="0" w:right="0" w:firstLine="720"/>
        <w:rPr/>
      </w:pPr>
      <w:bookmarkStart w:id="53" w:name="i8f80cd4713b44eeabaf249dd536c3245_262178"/>
      <w:bookmarkEnd w:id="53"/>
      <w:r>
        <w:rPr>
          <w:rFonts w:ascii="Times New Roman;sans-serif" w:hAnsi="Times New Roman;sans-serif"/>
          <w:b/>
          <w:color w:val="000000"/>
          <w:sz w:val="24"/>
        </w:rPr>
        <w:t>Section 10.</w:t>
      </w:r>
      <w:r>
        <w:rPr>
          <w:rFonts w:ascii="Times New Roman;sans-serif" w:hAnsi="Times New Roman;sans-serif"/>
          <w:b w:val="false"/>
          <w:color w:val="000000"/>
          <w:sz w:val="24"/>
          <w:u w:val="single"/>
        </w:rPr>
        <w:t>Guarantee</w:t>
      </w:r>
      <w:r>
        <w:rPr>
          <w:rFonts w:ascii="Times New Roman;sans-serif" w:hAnsi="Times New Roman;sans-serif"/>
          <w:b w:val="false"/>
          <w:color w:val="000000"/>
          <w:sz w:val="24"/>
        </w:rPr>
        <w:t xml:space="preserve">. </w:t>
      </w:r>
    </w:p>
    <w:p>
      <w:pPr>
        <w:pStyle w:val="TextBody"/>
        <w:spacing w:lineRule="auto" w:line="240" w:before="0" w:after="240"/>
        <w:ind w:left="0" w:right="0" w:firstLine="720"/>
        <w:rPr/>
      </w:pPr>
      <w:bookmarkStart w:id="54" w:name="i8f80cd4713b44eeabaf249dd536c3245_262179"/>
      <w:bookmarkEnd w:id="54"/>
      <w:r>
        <w:rPr>
          <w:rFonts w:ascii="Times New Roman;sans-serif" w:hAnsi="Times New Roman;sans-serif"/>
          <w:b w:val="false"/>
          <w:color w:val="000000"/>
          <w:sz w:val="24"/>
        </w:rPr>
        <w:t>10.01    </w:t>
      </w:r>
      <w:r>
        <w:rPr>
          <w:rFonts w:ascii="Times New Roman;sans-serif" w:hAnsi="Times New Roman;sans-serif"/>
          <w:b w:val="false"/>
          <w:color w:val="000000"/>
          <w:sz w:val="24"/>
          <w:u w:val="single"/>
        </w:rPr>
        <w:t>The Guarantee</w:t>
      </w:r>
      <w:r>
        <w:rPr>
          <w:rFonts w:ascii="Times New Roman;sans-serif" w:hAnsi="Times New Roman;sans-serif"/>
          <w:b w:val="false"/>
          <w:color w:val="000000"/>
          <w:sz w:val="24"/>
        </w:rPr>
        <w:t xml:space="preserve">. The Guarantor hereby guarantees to each Lender and the Agents and their respective successors and assigns (a) the prompt payment in full when due (whether at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28650"/>
                <wp:effectExtent l="0" t="0" r="0" b="0"/>
                <wp:wrapNone/>
                <wp:docPr id="114" name="Frame11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stated maturity, by acceleration or otherwise) of the principal of and interest on the Loans made by the Lenders to the Company and all other amounts from time to time owing to the Lenders or the Agents by the Company under this Agreement and the other Operative Documents and (b) all obligations of the Company to any Lender (or any affiliate of any Lender) and to the Agents under the Operative Documents (such obligations being herein collectively called the “</w:t>
      </w:r>
      <w:r>
        <w:rPr>
          <w:rFonts w:ascii="Times New Roman;sans-serif" w:hAnsi="Times New Roman;sans-serif"/>
          <w:b/>
          <w:color w:val="000000"/>
          <w:sz w:val="24"/>
        </w:rPr>
        <w:t>Guaranteed Obligations</w:t>
      </w:r>
      <w:r>
        <w:rPr>
          <w:color w:val="000000"/>
        </w:rPr>
        <w:t>”</w:t>
      </w:r>
      <w:r>
        <w:rPr>
          <w:rFonts w:ascii="Times New Roman;sans-serif" w:hAnsi="Times New Roman;sans-serif"/>
          <w:b w:val="false"/>
          <w:color w:val="000000"/>
          <w:sz w:val="24"/>
        </w:rPr>
        <w:t>). The Guarantor hereby further agrees that if the Company shall fail to pay in full when due (whether at stated maturity, by acceleration or otherwise) any of the Guaranteed Obligations, the Guarantor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For purposes hereof, it is understood that any Guaranteed Obligations to any Person arising under an agreement entered into at a time such Person (or an affiliate thereof) is party hereto as a Lender shall continue to constitute Guaranteed Obligations, notwithstanding that such Person (or its affiliate) has ceased to be a Lender party hereto (by assigning all of its Commitments, Loans, and other interests herein) at the time a claim is to be made in respect of such Guaranteed Obligations.</w:t>
      </w:r>
    </w:p>
    <w:p>
      <w:pPr>
        <w:pStyle w:val="TextBody"/>
        <w:spacing w:lineRule="auto" w:line="240" w:before="0" w:after="240"/>
        <w:ind w:left="0" w:right="0" w:firstLine="720"/>
        <w:rPr/>
      </w:pPr>
      <w:bookmarkStart w:id="55" w:name="i8f80cd4713b44eeabaf249dd536c3245_262180"/>
      <w:bookmarkEnd w:id="55"/>
      <w:r>
        <w:rPr>
          <w:rFonts w:ascii="Times New Roman;sans-serif" w:hAnsi="Times New Roman;sans-serif"/>
          <w:b w:val="false"/>
          <w:color w:val="000000"/>
          <w:sz w:val="24"/>
        </w:rPr>
        <w:t>10.02    </w:t>
      </w:r>
      <w:r>
        <w:rPr>
          <w:rFonts w:ascii="Times New Roman;sans-serif" w:hAnsi="Times New Roman;sans-serif"/>
          <w:b w:val="false"/>
          <w:color w:val="000000"/>
          <w:sz w:val="24"/>
          <w:u w:val="single"/>
        </w:rPr>
        <w:t>Obligations Unconditional</w:t>
      </w:r>
      <w:r>
        <w:rPr>
          <w:rFonts w:ascii="Times New Roman;sans-serif" w:hAnsi="Times New Roman;sans-serif"/>
          <w:b w:val="false"/>
          <w:color w:val="000000"/>
          <w:sz w:val="24"/>
        </w:rPr>
        <w:t>. The obligations of the Guarantor under Section 10.01 are absolute and unconditional, irrespective of the value, genuineness, validity, regularity or enforceability of the obligations of the Company under this Agreement or any other agreement or instrument referred to herein, or any substitution, release or exchange of any other guarantee of or security for any of the Guaranteed Obligations, irrespective of any law, regulation, decree or order of any jurisdiction affecting any term of any Guaranteed Obligations or the Lenders’ or Agents’ rights with respect thereto, and, to the fullest extent permitted by applicable Law, irrespective of any other circumstance whatsoever that might otherwise constitute a legal or equitable discharge or defense of a surety or Guarantor, it being the intent of this Section 10.02 that the obligations of the Guarantor hereunder shall be absolute and unconditional under any and all circumstances. Without limiting the generality of the foregoing, it is agreed that the occurrence of any one or more of the following shall not alter or impair the liability of the Guarantor hereunder, which shall remain absolute and unconditional as described above: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at any time or from time to time, without notice to the Guarantor, the time for any performance of or compliance with any of the Guaranteed Obligations shall be extended, or such performance or compliance shall be waived;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any of the acts mentioned in any of the provisions of this Agreement or any other agreement or instrument referred to herein shall be done or omitted;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the maturity of any of the Guaranteed Obligations shall be accelerated, or any of the Guaranteed Obligations shall be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(iv)    any lien or security interest granted to, or in favor of, the Agents or any Lender or Lenders as security for any of the Guaranteed Obligations shall fail to be perfected.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28650"/>
                <wp:effectExtent l="0" t="0" r="0" b="0"/>
                <wp:wrapNone/>
                <wp:docPr id="115" name="Frame11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1440"/>
        <w:rPr>
          <w:rFonts w:ascii="Times New Roman;sans-serif" w:hAnsi="Times New Roman;sans-serif"/>
          <w:b w:val="false"/>
          <w:color w:val="000000"/>
          <w:sz w:val="24"/>
        </w:rPr>
      </w:pPr>
      <w:r>
        <w:rPr>
          <w:rFonts w:ascii="Times New Roman;sans-serif" w:hAnsi="Times New Roman;sans-serif"/>
          <w:b w:val="false"/>
          <w:color w:val="000000"/>
          <w:sz w:val="24"/>
        </w:rPr>
        <w:t>The Guarantor hereby expressly waives diligence, presentment, demand of payment, protest and all notices whatsoever, and any requirement that the Facility Agent, the Company under this Agreement or any other agreement or instrument referred to herein, or against any other Person under any other guarantee of, or security for, any of the Guaranteed Obligations.</w:t>
      </w:r>
    </w:p>
    <w:p>
      <w:pPr>
        <w:pStyle w:val="TextBody"/>
        <w:spacing w:lineRule="auto" w:line="240" w:before="0" w:after="240"/>
        <w:ind w:left="0" w:right="0" w:firstLine="720"/>
        <w:rPr/>
      </w:pPr>
      <w:bookmarkStart w:id="56" w:name="i8f80cd4713b44eeabaf249dd536c3245_262181"/>
      <w:bookmarkEnd w:id="56"/>
      <w:r>
        <w:rPr>
          <w:rFonts w:ascii="Times New Roman;sans-serif" w:hAnsi="Times New Roman;sans-serif"/>
          <w:b w:val="false"/>
          <w:color w:val="000000"/>
          <w:sz w:val="24"/>
        </w:rPr>
        <w:t>10.03    </w:t>
      </w:r>
      <w:r>
        <w:rPr>
          <w:rFonts w:ascii="Times New Roman;sans-serif" w:hAnsi="Times New Roman;sans-serif"/>
          <w:b w:val="false"/>
          <w:color w:val="000000"/>
          <w:sz w:val="24"/>
          <w:u w:val="single"/>
        </w:rPr>
        <w:t>Reinstatement</w:t>
      </w:r>
      <w:r>
        <w:rPr>
          <w:rFonts w:ascii="Times New Roman;sans-serif" w:hAnsi="Times New Roman;sans-serif"/>
          <w:b w:val="false"/>
          <w:color w:val="000000"/>
          <w:sz w:val="24"/>
        </w:rPr>
        <w:t>. The obligations of the Guarantor under this Section 10 shall be automatically reinstated if and to the extent that for any reason any payment by or on behalf of the Company in respect of the Guaranteed Obligations is rescinded or must be otherwise restored by any holder of any of the Guaranteed Obligations, whether as a result of any proceedings in bankruptcy or reorganization or otherwise, and the Guarantor agrees that it will indemnify the Facility Agent, the Security Trustee and each Lender on demand for all reasonable costs and expenses (including fees of counsel) incurred by the Facility Agent, the Security Trustee or such Lender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pStyle w:val="TextBody"/>
        <w:spacing w:lineRule="auto" w:line="240" w:before="0" w:after="240"/>
        <w:ind w:left="0" w:right="0" w:firstLine="720"/>
        <w:rPr/>
      </w:pPr>
      <w:bookmarkStart w:id="57" w:name="i8f80cd4713b44eeabaf249dd536c3245_262182"/>
      <w:bookmarkEnd w:id="57"/>
      <w:r>
        <w:rPr>
          <w:rFonts w:ascii="Times New Roman;sans-serif" w:hAnsi="Times New Roman;sans-serif"/>
          <w:b w:val="false"/>
          <w:color w:val="000000"/>
          <w:sz w:val="24"/>
        </w:rPr>
        <w:t>10.04    </w:t>
      </w:r>
      <w:r>
        <w:rPr>
          <w:rFonts w:ascii="Times New Roman;sans-serif" w:hAnsi="Times New Roman;sans-serif"/>
          <w:b w:val="false"/>
          <w:color w:val="000000"/>
          <w:sz w:val="24"/>
          <w:u w:val="single"/>
        </w:rPr>
        <w:t>Subrogation</w:t>
      </w:r>
      <w:r>
        <w:rPr>
          <w:rFonts w:ascii="Times New Roman;sans-serif" w:hAnsi="Times New Roman;sans-serif"/>
          <w:b w:val="false"/>
          <w:color w:val="000000"/>
          <w:sz w:val="24"/>
        </w:rPr>
        <w:t>. The Guarantor hereby agrees that until the payment and satisfaction in full of all Guaranteed Obligations and the expiration and termination of the Commitments of the Lenders under this Agreement they shall not exercise any right or remedy arising by reason of any performance by them of their guarantee in Section 10.01, whether by subrogation or otherwise, against the Company of any of the Guaranteed Obligations or any security for any of the Guaranteed Obligations.</w:t>
      </w:r>
    </w:p>
    <w:p>
      <w:pPr>
        <w:pStyle w:val="TextBody"/>
        <w:spacing w:lineRule="auto" w:line="240" w:before="0" w:after="240"/>
        <w:ind w:left="0" w:right="0" w:firstLine="720"/>
        <w:rPr/>
      </w:pPr>
      <w:bookmarkStart w:id="58" w:name="i8f80cd4713b44eeabaf249dd536c3245_262183"/>
      <w:bookmarkEnd w:id="58"/>
      <w:r>
        <w:rPr>
          <w:rFonts w:ascii="Times New Roman;sans-serif" w:hAnsi="Times New Roman;sans-serif"/>
          <w:b w:val="false"/>
          <w:color w:val="000000"/>
          <w:sz w:val="24"/>
        </w:rPr>
        <w:t>10.05    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The Guarantor agrees that, as between the Guarantor and the Lenders, the obligations of the Company under this Agreement may be declared to be forthwith due and payable as provided in Section 9 (and shall be deemed to have become automatically due and payable in the circumstances provided in Section 9) for purposes of Section 10.01 notwithstanding any stay, injunction or other prohibition preventing such declaration (or such obligations from becoming automatically due and payable) as against the Company and that, in the event of such declaration (or such obligations being deemed to have become automatically due and payable), such obligations (whether or not due and payable by the Company) shall forthwith become due and payable by the Guarantor for purposes of Section 10.01.</w:t>
      </w:r>
    </w:p>
    <w:p>
      <w:pPr>
        <w:pStyle w:val="TextBody"/>
        <w:spacing w:lineRule="auto" w:line="240" w:before="0" w:after="240"/>
        <w:ind w:left="0" w:right="0" w:firstLine="720"/>
        <w:rPr/>
      </w:pPr>
      <w:bookmarkStart w:id="59" w:name="i8f80cd4713b44eeabaf249dd536c3245_262184"/>
      <w:bookmarkEnd w:id="59"/>
      <w:r>
        <w:rPr>
          <w:rFonts w:ascii="Times New Roman;sans-serif" w:hAnsi="Times New Roman;sans-serif"/>
          <w:b w:val="false"/>
          <w:color w:val="000000"/>
          <w:sz w:val="24"/>
        </w:rPr>
        <w:t>10.06    </w:t>
      </w:r>
      <w:r>
        <w:rPr>
          <w:rFonts w:ascii="Times New Roman;sans-serif" w:hAnsi="Times New Roman;sans-serif"/>
          <w:b w:val="false"/>
          <w:color w:val="000000"/>
          <w:sz w:val="24"/>
          <w:u w:val="single"/>
        </w:rPr>
        <w:t>Instrument for the Payment of Money</w:t>
      </w:r>
      <w:r>
        <w:rPr>
          <w:rFonts w:ascii="Times New Roman;sans-serif" w:hAnsi="Times New Roman;sans-serif"/>
          <w:b w:val="false"/>
          <w:color w:val="000000"/>
          <w:sz w:val="24"/>
        </w:rPr>
        <w:t>. The Guarantor hereby acknowledges that the guarantee in this Section 10 constitutes an instrument for the payment of money, and consents and agrees that any Lender or any Agent, at its sole option, in the event of a dispute by the Guarantor in the payment of any moneys due hereunder, shall have the right to proceed by motion for summary judgment in lieu of complaint pursuant to N.Y. Civ. Prac. L&amp;R § 3213.</w:t>
      </w:r>
    </w:p>
    <w:p>
      <w:pPr>
        <w:pStyle w:val="TextBody"/>
        <w:spacing w:lineRule="auto" w:line="240" w:before="0" w:after="240"/>
        <w:ind w:left="0" w:right="0" w:firstLine="720"/>
        <w:rPr/>
      </w:pPr>
      <w:bookmarkStart w:id="60" w:name="i8f80cd4713b44eeabaf249dd536c3245_262185"/>
      <w:bookmarkEnd w:id="60"/>
      <w:r>
        <w:rPr>
          <w:rFonts w:ascii="Times New Roman;sans-serif" w:hAnsi="Times New Roman;sans-serif"/>
          <w:b w:val="false"/>
          <w:color w:val="000000"/>
          <w:sz w:val="24"/>
        </w:rPr>
        <w:t>10.07    </w:t>
      </w:r>
      <w:r>
        <w:rPr>
          <w:rFonts w:ascii="Times New Roman;sans-serif" w:hAnsi="Times New Roman;sans-serif"/>
          <w:b w:val="false"/>
          <w:color w:val="000000"/>
          <w:sz w:val="24"/>
          <w:u w:val="single"/>
        </w:rPr>
        <w:t>Continuing Guarantee</w:t>
      </w:r>
      <w:r>
        <w:rPr>
          <w:rFonts w:ascii="Times New Roman;sans-serif" w:hAnsi="Times New Roman;sans-serif"/>
          <w:b w:val="false"/>
          <w:color w:val="000000"/>
          <w:sz w:val="24"/>
        </w:rPr>
        <w:t>. The guarantee in this Section 10 is a continuing guarantee, and shall apply to all Guaranteed Obligations whenever arising.</w:t>
      </w:r>
    </w:p>
    <w:p>
      <w:pPr>
        <w:pStyle w:val="TextBody"/>
        <w:spacing w:lineRule="auto" w:line="240" w:before="0" w:after="240"/>
        <w:ind w:left="0" w:right="0" w:firstLine="720"/>
        <w:rPr/>
      </w:pPr>
      <w:bookmarkStart w:id="61" w:name="i8f80cd4713b44eeabaf249dd536c3245_262186"/>
      <w:bookmarkEnd w:id="61"/>
      <w:r>
        <w:rPr>
          <w:rFonts w:ascii="Times New Roman;sans-serif" w:hAnsi="Times New Roman;sans-serif"/>
          <w:b w:val="false"/>
          <w:color w:val="000000"/>
          <w:sz w:val="24"/>
        </w:rPr>
        <w:t>10.08    </w:t>
      </w:r>
      <w:r>
        <w:rPr>
          <w:rFonts w:ascii="Times New Roman;sans-serif" w:hAnsi="Times New Roman;sans-serif"/>
          <w:b w:val="false"/>
          <w:color w:val="000000"/>
          <w:sz w:val="24"/>
          <w:u w:val="single"/>
        </w:rPr>
        <w:t>General Limitation on Guarantee Obligations</w:t>
      </w:r>
      <w:r>
        <w:rPr>
          <w:rFonts w:ascii="Times New Roman;sans-serif" w:hAnsi="Times New Roman;sans-serif"/>
          <w:b w:val="false"/>
          <w:color w:val="000000"/>
          <w:sz w:val="24"/>
        </w:rPr>
        <w:t>. In any action or proceeding involving any state corporate law, or any state or Federal bankruptcy, insolvency, reorganization or other law affecting the rights of creditors generally, if the obligations of the Guarantor under Section 10.01 would otherwise be held or determined to be void, invalid or unenforceable, or subordinated to the claims of any other creditors, on account of the amount of its liability under Section 10.01, then, notwithstanding any other provision hereof to the contrary, the amount of such liability shall, without any further action by the Guarantor, any Lender, the Security Trustee, the Facility Agent or any other Person, be automatically limited and reduced to the highest amount that is valid and enforceable and not subordinated to the claims of other creditors as determined in such action or proceeding.</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28650"/>
                <wp:effectExtent l="0" t="0" r="0" b="0"/>
                <wp:wrapNone/>
                <wp:docPr id="116" name="Frame11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62" w:name="i8f80cd4713b44eeabaf249dd536c3245_262187"/>
      <w:bookmarkEnd w:id="62"/>
      <w:r>
        <w:rPr>
          <w:rFonts w:ascii="Times New Roman;sans-serif" w:hAnsi="Times New Roman;sans-serif"/>
          <w:b/>
          <w:color w:val="000000"/>
          <w:sz w:val="24"/>
        </w:rPr>
        <w:t>Section 11.</w:t>
      </w:r>
      <w:r>
        <w:rPr>
          <w:rFonts w:ascii="Times New Roman;sans-serif" w:hAnsi="Times New Roman;sans-serif"/>
          <w:b w:val="false"/>
          <w:color w:val="000000"/>
          <w:sz w:val="24"/>
          <w:u w:val="single"/>
        </w:rPr>
        <w:t>The Agents</w:t>
      </w:r>
      <w:r>
        <w:rPr>
          <w:rFonts w:ascii="Times New Roman;sans-serif" w:hAnsi="Times New Roman;sans-serif"/>
          <w:b w:val="false"/>
          <w:color w:val="000000"/>
          <w:sz w:val="24"/>
        </w:rPr>
        <w:t>.</w:t>
      </w:r>
    </w:p>
    <w:p>
      <w:pPr>
        <w:pStyle w:val="TextBody"/>
        <w:spacing w:lineRule="auto" w:line="240" w:before="0" w:after="240"/>
        <w:ind w:left="0" w:right="0" w:firstLine="720"/>
        <w:rPr/>
      </w:pPr>
      <w:bookmarkStart w:id="63" w:name="i8f80cd4713b44eeabaf249dd536c3245_262188"/>
      <w:bookmarkEnd w:id="63"/>
      <w:r>
        <w:rPr>
          <w:rFonts w:ascii="Times New Roman;sans-serif" w:hAnsi="Times New Roman;sans-serif"/>
          <w:b w:val="false"/>
          <w:color w:val="000000"/>
          <w:sz w:val="24"/>
        </w:rPr>
        <w:t>11.01    </w:t>
      </w:r>
      <w:r>
        <w:rPr>
          <w:rFonts w:ascii="Times New Roman;sans-serif" w:hAnsi="Times New Roman;sans-serif"/>
          <w:b w:val="false"/>
          <w:color w:val="000000"/>
          <w:sz w:val="24"/>
          <w:u w:val="single"/>
        </w:rPr>
        <w:t>Appointment and Authority; Certain Security Trustee Actions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Appointment and Authority</w:t>
      </w:r>
      <w:r>
        <w:rPr>
          <w:rFonts w:ascii="Times New Roman;sans-serif" w:hAnsi="Times New Roman;sans-serif"/>
          <w:b w:val="false"/>
          <w:color w:val="000000"/>
          <w:sz w:val="24"/>
        </w:rPr>
        <w:t>. Each of the Lenders hereby appoints each Agent to act on its behalf as the Facility Agent, the Security Trustee or the Account Bank, as applicable, hereunder and under the other Operative Documents and authorizes each Agent to take such actions on its behalf and to exercise such powers as are delegated to such Agent by the terms hereof or thereof, together with such actions and powers as are reasonably incidental thereto. The provisions of this Section 11 are solely for the benefit of the Agents and the Lenders, and, except as expressly specified in the second sentence of Section 11.06, the Company shall have no rights as a third party beneficiary of any of such provisions.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Certain Security Trustee Actions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Before the Security Trustee acts or refrains from acting, it may, in the absence of instructions from the Facility Agent or the Majority Lenders, as the case may be, require an officer’s certificate of the Company and/or an opinion of counsel satisfactory to the Security Trustee with respect to the proposed action or inaction. The Security Trustee shall not be liable for any action it takes or omits to take in good faith in reliance on such certificate or opinion. Whenever in the administration of any Operative Document the Security Trustee shall deem it necessary or desirable that a matter be provided or established prior to taking or suffering or omitting to take any act hereunder or under any of the other Operative Documents, such matter (unless other evidence in respect thereof be herein or therein specifically prescribed) may, in the absence of gross negligence or willful misconduct on the part of the Security Trustee, be deemed to be conclusively proved and established by a certificate of an officer of the Company delivered to the Security Trustee, and such certificate, in the absence of gross negligence or bad faith on the part of the Security Trustee, shall be full warrant to the Security Trustee for any action taken, suffered or omitted to be taken by it under the provisions of any Operative Document upon the faith thereof.</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In each case that the Security Trustee may or is required hereunder or under any other Operative Document to take any action, including to make any determination or judgment, to give consents, to exercise rights, remedies, powers or privileges, to release or sell collateral or otherwise to act hereunder or under any other Operative Document, the Security Trustee may seek direction from the Facility Agent or the Majority Lenders (or such other number or percentage of the Lenders as shall be expressly provided herein or in the other Operative Documents). The Security Trustee shall not be liable with respect to any action taken or omitted to be taken by it in good faith in accordance with the direction from the Facility Agent or the Majority Lenders (or such other number or percentage of the Lenders as shall be expressly provided herein or in the other Operative Documents). If the Security Trustee shall request direction from the Facility Agent or the Majority Lenders (or such other number or percentage of the Lenders as shall be expressly provided herein or in the other Operative Documents) with respect to any action, the Security Trustee shall be entitled to refrain from such action unless and until the Security Trustee shall have received direction from the Facility Agent or the Majority Lenders (or such other number or percentage of the Lenders as shall be expressly provided herein or in the other Operative Documents), and the Security Trustee shall not incur liability to any Person by reason of so refraining. So long as a Default or an Event of Default shall have occurred and be continuing, the Facility Agent shall promptly send to each Lender a copy of any written communications received from the Security Trustee by it during such period.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28650"/>
                <wp:effectExtent l="0" t="0" r="0" b="0"/>
                <wp:wrapNone/>
                <wp:docPr id="117" name="Frame11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64" w:name="i8f80cd4713b44eeabaf249dd536c3245_262189"/>
      <w:bookmarkEnd w:id="64"/>
      <w:r>
        <w:rPr>
          <w:rFonts w:ascii="Times New Roman;sans-serif" w:hAnsi="Times New Roman;sans-serif"/>
          <w:b w:val="false"/>
          <w:color w:val="000000"/>
          <w:sz w:val="24"/>
        </w:rPr>
        <w:t>11.02    </w:t>
      </w:r>
      <w:r>
        <w:rPr>
          <w:rFonts w:ascii="Times New Roman;sans-serif" w:hAnsi="Times New Roman;sans-serif"/>
          <w:b w:val="false"/>
          <w:color w:val="000000"/>
          <w:sz w:val="24"/>
          <w:u w:val="single"/>
        </w:rPr>
        <w:t>Rights as a Lender</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Each Person serving as an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Affiliates may accept deposits from, lend money to, act as the financial advisor or in any other advisory capacity for and generally engage in any kind of business with the Company or other Affiliate thereof as if such Person were not an Agent hereunder and without any duty to account therefor to the Lenders.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Each Lender understands that each Person serving as an Agent, acting in its individual capacity, and its Affiliates (collectively, an “</w:t>
      </w:r>
      <w:r>
        <w:rPr>
          <w:rFonts w:ascii="Times New Roman;sans-serif" w:hAnsi="Times New Roman;sans-serif"/>
          <w:b/>
          <w:color w:val="000000"/>
          <w:sz w:val="24"/>
        </w:rPr>
        <w:t>Agent Group</w:t>
      </w:r>
      <w:r>
        <w:rPr>
          <w:color w:val="000000"/>
        </w:rPr>
        <w:t>”</w:t>
      </w:r>
      <w:r>
        <w:rPr>
          <w:rFonts w:ascii="Times New Roman;sans-serif" w:hAnsi="Times New Roman;sans-serif"/>
          <w:b w:val="false"/>
          <w:color w:val="000000"/>
          <w:sz w:val="24"/>
        </w:rPr>
        <w:t>) is engaged in a wide range of financial services and businesses (including investment management, financing, securities trading, corporate and investment banking and research) (such services and businesses are collectively referred to in this Section 11.02 as “</w:t>
      </w:r>
      <w:r>
        <w:rPr>
          <w:rFonts w:ascii="Times New Roman;sans-serif" w:hAnsi="Times New Roman;sans-serif"/>
          <w:b/>
          <w:color w:val="000000"/>
          <w:sz w:val="24"/>
        </w:rPr>
        <w:t>Activities</w:t>
      </w:r>
      <w:r>
        <w:rPr>
          <w:color w:val="000000"/>
        </w:rPr>
        <w:t>”</w:t>
      </w:r>
      <w:r>
        <w:rPr>
          <w:rFonts w:ascii="Times New Roman;sans-serif" w:hAnsi="Times New Roman;sans-serif"/>
          <w:b w:val="false"/>
          <w:color w:val="000000"/>
          <w:sz w:val="24"/>
        </w:rPr>
        <w:t>) and may engage in the Activities with or on behalf of one or more of the Company or their respective Affiliates. Furthermore, each Agent Group may, in undertaking the Activities, engage in trading in financial products or undertake other investment businesses for its own account or on behalf of others (including the Company and its Affiliates and including holding, for its own account or on behalf of others, equity, debt and similar positions in the Company or its Affiliates), including trading in or holding long, short or derivative positions in securities, loans or other financial products of one or more of the Company or their Affiliates. Each Lender understands and agrees that in engaging in the Activities, each Agent Group may receive or otherwise obtain information concerning the Company or its Affiliates (including information concerning the ability of the Company to perform its obligations hereunder and under the other Operative Documents) which information may not be available to any of the Lenders that are not members of an Agent Group. Neither any Person serving as an Agent nor any other member of an Agent Group shall have any duty to disclose to any Lender or use on behalf of the Lenders, nor be liable for the failure to so disclose or use, any information whatsoever about or derived from the Activities or otherwise (including any information concerning the business, prospects, operations, Property, financial and other condition or creditworthiness of the Company or any Affiliate of the Company) or to account for any revenue or profits obtained in connection with the Activities, except that the Facility Agent or the Security Trustee, as applicable, shall deliver or otherwise make available to each Lender such documents as are expressly required by any Loan Document to be transmitted by the Facility Agent or the Security Trustee, as applicable, to the Lenders.</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(c)    Each Lender further understands that there may be situations where members of an Agent Group or their respective customers (including the Company and its Affiliates) either now have or may in the future have interests or take actions that may conflict with the interests of any one or more of the Lenders (including the interests of the Lenders hereunder and under the other Operative Documents). Each Lender agrees that no member of an Agent Group is or shall be required to restrict its activities as a result of any Person serving as an Agent being a member of an Agent Group, and that each member of an Agent Group may undertake any Activities without further consultation with or notification to any Lender. None of (i) this Agreement nor any other Operative Document, (ii) the receipt by an Agent Group of information (including Information) concerning the Company or their Affiliates (including information concerning the ability of the Company to perform their respective obligations hereunder and under the other Operative Documents) or (iii) any other matter, shall give rise to any fiduciary, equitable or contractual duties (including any duty of trust or confidence) owing by any Agent or any member of an Agent Group to any Lender including any such duty that would prevent or restrict an Agent Group from acting on behalf of customers (including the Company or its Affiliates) or for its own account.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28650"/>
                <wp:effectExtent l="0" t="0" r="0" b="0"/>
                <wp:wrapNone/>
                <wp:docPr id="118" name="Frame11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65" w:name="i8f80cd4713b44eeabaf249dd536c3245_262190"/>
      <w:bookmarkEnd w:id="65"/>
      <w:r>
        <w:rPr>
          <w:rFonts w:ascii="Times New Roman;sans-serif" w:hAnsi="Times New Roman;sans-serif"/>
          <w:b w:val="false"/>
          <w:color w:val="000000"/>
          <w:sz w:val="24"/>
        </w:rPr>
        <w:t>11.03    </w:t>
      </w:r>
      <w:r>
        <w:rPr>
          <w:rFonts w:ascii="Times New Roman;sans-serif" w:hAnsi="Times New Roman;sans-serif"/>
          <w:b w:val="false"/>
          <w:color w:val="000000"/>
          <w:sz w:val="24"/>
          <w:u w:val="single"/>
        </w:rPr>
        <w:t>Duties of Agents; Exculpatory Provisions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 xml:space="preserve">(a)    The Agents’ duties hereunder and under the other Operative Documents are solely ministerial and administrative in nature and no Agent shall have any duties or obligations except those expressly set forth herein and in the other Operative Documents and no duties or obligations shall be implied. Without limiting the generality of the foregoing, no Agent shall have any duty to take any discretionary action or exercise any discretionary powers, but shall be required to act or refrain from acting (and shall be fully protected in so acting or refraining from acting) upon the written direction of the Majority Lenders (or such other number or percentage of the Lenders as shall be expressly provided for herein or in the other Operative Documents),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Agent shall be required to take any action that, in its good faith opinion or in the opinion of its counsel, may expose such Agent or any of its Affiliates to liability or that is contrary to any Operative Document or applicable law. Each Agent shall be fully justified in failing or refusing to take any action under this Agreement or any other Operative Document unless it shall first be indemnified to its satisfaction by the Lenders against any and all liability and expense that may be incurred by it by reason of taking or continuing to take, or refraining from taking any such action. No Agent shall be required to expend or risk any of its own funds or otherwise incur any liability, financial or otherwise, in the performance of any of its duties hereunder or under any other Operative Document. </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No Agent shall be liable for any action taken or not taken by it (i) with the consent or at the request of the Majority Lenders (or such other number or percentage of the Lenders as shall be necessary, or as such Agent shall believe in good faith shall be necessary, under the circumstances as provided in the Operative Documents, including Sections 9 or 12.03) or (ii) in the absence of its own gross negligence or willful misconduct, as determined by a court of competent jurisdiction by a final and non-appealable judgment. No Agent shall be deemed to have knowledge of any Default or Event of Default unless and until the Company or any Lender shall have given notice to such Agent describing such Default or Event of Default.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(c)    No Agent nor any member of an Agent Group shall be responsible for or have any duty to ascertain or inquire into (i) any statement, warranty, representation or other information made or supplied in or in connection with this Agreement or any other Operative Document,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Default or Event of Default, (iv) the validity, enforceability, effectiveness or genuineness of this Agreement, any other Operative Document or any other agreement, instrument or document or the perfection or priority of any Lien or security interest created or purported to be created by any Security Document or (v) the satisfaction of any condition set forth in Section 6 or elsewhere herein, other than (but subject to the foregoing clause (ii)) to confirm receipt of items expressly required to be delivered to the Facility Agent.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(d)    Nothing in this Agreement or any other Operative Document shall require any Agent or any of its Related Parties to carry out any “know your customer” or other checks in relation to any Person on behalf of any Lender and each Lender confirms to each Agent that such Lender is solely responsible for any such checks such Lender is required to carry out and that such Lender may not rely on any statement in relation to such checks made by such Agent or any of its Related Parties.</w:t>
      </w:r>
    </w:p>
    <w:p>
      <w:pPr>
        <w:pStyle w:val="TextBody"/>
        <w:spacing w:lineRule="auto" w:line="240" w:before="0" w:after="240"/>
        <w:ind w:left="0" w:right="0" w:firstLine="720"/>
        <w:rPr/>
      </w:pPr>
      <w:bookmarkStart w:id="66" w:name="i8f80cd4713b44eeabaf249dd536c3245_262191"/>
      <w:bookmarkEnd w:id="66"/>
      <w:r>
        <w:rPr>
          <w:rFonts w:ascii="Times New Roman;sans-serif" w:hAnsi="Times New Roman;sans-serif"/>
          <w:b w:val="false"/>
          <w:color w:val="000000"/>
          <w:sz w:val="24"/>
        </w:rPr>
        <w:t>11.04    </w:t>
      </w:r>
      <w:r>
        <w:rPr>
          <w:rFonts w:ascii="Times New Roman;sans-serif" w:hAnsi="Times New Roman;sans-serif"/>
          <w:b w:val="false"/>
          <w:color w:val="000000"/>
          <w:sz w:val="24"/>
          <w:u w:val="single"/>
        </w:rPr>
        <w:t>Reliance by Agents</w:t>
      </w:r>
      <w:r>
        <w:rPr>
          <w:rFonts w:ascii="Times New Roman;sans-serif" w:hAnsi="Times New Roman;sans-serif"/>
          <w:b w:val="false"/>
          <w:color w:val="000000"/>
          <w:sz w:val="24"/>
        </w:rPr>
        <w:t xml:space="preserve">. Each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such Agent to be genuine and to have been signed,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28650"/>
                <wp:effectExtent l="0" t="0" r="0" b="0"/>
                <wp:wrapNone/>
                <wp:docPr id="119" name="Frame11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sent or otherwise authenticated by the proper Person. Each Agent also may rely upon any statement made to it orally or by telephone and reasonably believed by such Agent to have been made by the proper Person, and shall not incur any liability for relying thereon. In determining compliance with any condition hereunder to the making of the Loans that by its terms must be fulfilled to the satisfaction of a Lender, each Agent may presume that such condition is satisfactory to such Lender unless an officer of such Agent responsible for the transactions contemplated hereby shall have received notice to the contrary from such Lender prior to the making of the Loans and, in the case of a Borrowing, such Lender shall not have made available to the Facility Agent such Lender’s ratable portion of such Borrowing. Each Agent may consult with legal counsel (who may be counsel for the Company), independent accountants and other experts selected by such Agent, and shall not be liable for any action taken or not taken by it in accordance with the advice of any such counsel, accountants or experts.</w:t>
      </w:r>
    </w:p>
    <w:p>
      <w:pPr>
        <w:pStyle w:val="TextBody"/>
        <w:spacing w:lineRule="auto" w:line="240" w:before="0" w:after="240"/>
        <w:ind w:left="0" w:right="0" w:firstLine="720"/>
        <w:rPr/>
      </w:pPr>
      <w:bookmarkStart w:id="67" w:name="i8f80cd4713b44eeabaf249dd536c3245_262192"/>
      <w:bookmarkEnd w:id="67"/>
      <w:r>
        <w:rPr>
          <w:rFonts w:ascii="Times New Roman;sans-serif" w:hAnsi="Times New Roman;sans-serif"/>
          <w:b w:val="false"/>
          <w:color w:val="000000"/>
          <w:sz w:val="24"/>
        </w:rPr>
        <w:t>11.05    </w:t>
      </w:r>
      <w:r>
        <w:rPr>
          <w:rFonts w:ascii="Times New Roman;sans-serif" w:hAnsi="Times New Roman;sans-serif"/>
          <w:b w:val="false"/>
          <w:color w:val="000000"/>
          <w:sz w:val="24"/>
          <w:u w:val="single"/>
        </w:rPr>
        <w:t>Delegation of Duties</w:t>
      </w:r>
      <w:r>
        <w:rPr>
          <w:rFonts w:ascii="Times New Roman;sans-serif" w:hAnsi="Times New Roman;sans-serif"/>
          <w:b w:val="false"/>
          <w:color w:val="000000"/>
          <w:sz w:val="24"/>
        </w:rPr>
        <w:t>. Each Agent may perform any and all of its duties and exercise its rights and powers hereunder or under any other Operative Document by or through any one or more sub-agents appointed by such Agent who shall use reasonable care in the selection and appointment of such sub-agent(s). Each Agent and any such sub-agent may perform any and all of its duties and exercise its rights and powers by or through their respective Related Parties. Each such sub-agent and the Related Parties of each Agent and each such sub-agent shall be entitled to the benefits of all provisions of this Section 11 and Section 13.02 (as though such sub-agents were an “Agent” under the Operative Documents) as if set forth in full herein with respect thereto.</w:t>
      </w:r>
    </w:p>
    <w:p>
      <w:pPr>
        <w:pStyle w:val="TextBody"/>
        <w:spacing w:lineRule="auto" w:line="240" w:before="0" w:after="240"/>
        <w:ind w:left="0" w:right="0" w:firstLine="720"/>
        <w:rPr/>
      </w:pPr>
      <w:bookmarkStart w:id="68" w:name="i8f80cd4713b44eeabaf249dd536c3245_262193"/>
      <w:bookmarkEnd w:id="68"/>
      <w:r>
        <w:rPr>
          <w:rFonts w:ascii="Times New Roman;sans-serif" w:hAnsi="Times New Roman;sans-serif"/>
          <w:b w:val="false"/>
          <w:color w:val="000000"/>
          <w:sz w:val="24"/>
        </w:rPr>
        <w:t>11.06    </w:t>
      </w:r>
      <w:r>
        <w:rPr>
          <w:rFonts w:ascii="Times New Roman;sans-serif" w:hAnsi="Times New Roman;sans-serif"/>
          <w:b w:val="false"/>
          <w:color w:val="000000"/>
          <w:sz w:val="24"/>
          <w:u w:val="single"/>
        </w:rPr>
        <w:t>Resignation of Agents</w:t>
      </w:r>
      <w:r>
        <w:rPr>
          <w:rFonts w:ascii="Times New Roman;sans-serif" w:hAnsi="Times New Roman;sans-serif"/>
          <w:b w:val="false"/>
          <w:color w:val="000000"/>
          <w:sz w:val="24"/>
        </w:rPr>
        <w:t>. Each Agent may at any time give notice of its resignation to the Lenders and the Company and any Agent may be removed at any time with or without cause by the Majority Lenders. Upon receipt of any such notice of resignation or removal, the Majority Lenders shall have the right (so long as no Special Default has occurred and is continuing, with the consent of the Company (such consent not to be unreasonably withheld or delayed)) to appoint a successor. If no such successor shall have been so appointed by the Majority Lenders and shall have accepted such appointment within 60 days after the retiring Agent gives notice of its resignation or the Majority Lenders’ removal of the retiring Agent (such 60-day period, the “</w:t>
      </w:r>
      <w:r>
        <w:rPr>
          <w:rFonts w:ascii="Times New Roman;sans-serif" w:hAnsi="Times New Roman;sans-serif"/>
          <w:b/>
          <w:color w:val="000000"/>
          <w:sz w:val="24"/>
        </w:rPr>
        <w:t>Lender Appointment Period</w:t>
      </w:r>
      <w:r>
        <w:rPr>
          <w:color w:val="000000"/>
        </w:rPr>
        <w:t>”</w:t>
      </w:r>
      <w:r>
        <w:rPr>
          <w:rFonts w:ascii="Times New Roman;sans-serif" w:hAnsi="Times New Roman;sans-serif"/>
          <w:b w:val="false"/>
          <w:color w:val="000000"/>
          <w:sz w:val="24"/>
        </w:rPr>
        <w:t xml:space="preserve">), then the retiring Agent may on behalf of the Lenders (so long as no Special Default has occurred and is continuing, with the consent of the Company (such consent not to be unreasonably withheld or delayed)) appoint a successor Agent meeting the qualifications set forth above. In addition and without any obligation on the part of the retiring Agent to appoint, on behalf of the Lenders, a successor Agent, the retiring Agent may at any time upon or after the end of the Lender Appointment Period notify the Company and the Lenders that no qualifying Person has accepted appointment as successor Agent and the effective date of such retiring Agent’s resignation or removal, which effective date shall be no earlier than three Business Days after the date of such notice,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resignation of the Security Trustee shall not become effective until appropriate steps have been taken in order to preserve the Collateral. Upon the resignation or removal effective date established in such notice and regardless of whether a successor Agent has been appointed and accepted such appointment, the retiring Agent’s resignation or removal shall nonetheless become effective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any resignation of the Security Trustee shall not become effective until appropriate steps have been taken in order to preserve the Collateral and (i) the retiring Agent shall be discharged from its duties and obligations as Agent hereunder and under the other Operative Documents and (ii) all payments, communications and determinations provided to be made by, to or through such retiring Agent shall instead be made by or to each Lender directly, until such time as the Majority Lenders appoint a successor Agent to such retiring Agent as provided for above in this paragraph. Upon the acceptance of a successor’s appointment as Agent hereunder, such successor shall succeed to and become vested with all of the rights, remedies, powers, privileges and duties as Agent of the retiring (or retired) Agent, and the retiring Agent shall be discharged from all of its duties and obligations as Agent hereunder or under the other Operative Documents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28650"/>
                <wp:effectExtent l="0" t="0" r="0" b="0"/>
                <wp:wrapNone/>
                <wp:docPr id="120" name="Frame11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(if not already discharged therefrom as provided above in this paragraph). The fees payable by the Company to a successor Agent shall be the same as those payable to its predecessor unless otherwise agreed between the Company and such successor. After the retiring Agent’s resignation or removal hereunder and under the other Operative Documents, the provisions of this Section 11 and Section 13.02 shall continue in effect for the benefit of such retiring Agent, its sub-agents and their respective Related Parties in respect of any actions taken or omitted to be taken by any of them while the retiring Agent was acting as Agent.</w:t>
      </w:r>
    </w:p>
    <w:p>
      <w:pPr>
        <w:pStyle w:val="TextBody"/>
        <w:spacing w:lineRule="auto" w:line="240" w:before="0" w:after="240"/>
        <w:ind w:left="0" w:right="0" w:firstLine="720"/>
        <w:rPr/>
      </w:pPr>
      <w:bookmarkStart w:id="69" w:name="i8f80cd4713b44eeabaf249dd536c3245_262195"/>
      <w:bookmarkEnd w:id="69"/>
      <w:r>
        <w:rPr>
          <w:rFonts w:ascii="Times New Roman;sans-serif" w:hAnsi="Times New Roman;sans-serif"/>
          <w:b w:val="false"/>
          <w:color w:val="000000"/>
          <w:sz w:val="24"/>
        </w:rPr>
        <w:t>11.07    </w:t>
      </w:r>
      <w:r>
        <w:rPr>
          <w:rFonts w:ascii="Times New Roman;sans-serif" w:hAnsi="Times New Roman;sans-serif"/>
          <w:b w:val="false"/>
          <w:color w:val="000000"/>
          <w:sz w:val="24"/>
          <w:u w:val="single"/>
        </w:rPr>
        <w:t>Non-Reliance on Agents or Other Lenders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Each Lender confirms to each Agent, each other Lender and each of their respective Related Parties that it (i) possesses (individually or through its Related Parties) such knowledge and experience in financial and business matters that it is capable, without reliance on such Agent, any other Lender or any of their respective Related Parties, of evaluating the merits and risks (including tax, legal, regulatory, credit, accounting and other financial matters) of (x) entering into this Agreement, (y) making its Loans hereunder and (z) taking or not taking actions hereunder and thereunder, (ii) is financially able to bear such risks and (iii) has determined that entering into this Agreement and making its Loan hereunder and under the other Operative Documents is suitable and appropriate for it.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Each Lender acknowledges that (i) it is solely responsible for making its own independent appraisal and investigation of all risks arising under or in connection with this Agreement and the other Operative Documents, (ii) it has, independently and without reliance upon any Agent,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any Agent, any other Lender or any of their respective Related Parties, continue to be solely responsible for making its own appraisal and investigation of all risks arising under or in connection with, and its own credit analysis and decision to take or not take action under, this Agreement and the other Operative Documents based on such documents and information as it shall from time to time deem appropriate, which may include, in each case: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the financial condition, status and capitalization of the Company and the Guarantor;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the legality, validity, effectiveness, adequacy or enforceability of this Agreement and each other Operative Document and any other agreement, arrangement or document entered into, made or executed in anticipation of, under or in connection with any Operative Document;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determining compliance or non-compliance with any condition hereunder to the making of its Loans and the form and substance of all evidence delivered in connection with establishing the satisfaction of each such condition;</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(iv)    the adequacy, accuracy and/or completeness of any information delivered by any Agent, any other Lender or by any of their respective Related Parties under or in connection with this Agreement or any other Operative Document, the transactions contemplated hereby and thereby or any other agreement, arrangement or document entered into, made or executed in anticipation of, under or in connection with any Operative Document.</w:t>
      </w:r>
    </w:p>
    <w:p>
      <w:pPr>
        <w:pStyle w:val="TextBody"/>
        <w:spacing w:lineRule="auto" w:line="240" w:before="0" w:after="240"/>
        <w:ind w:left="0" w:right="0" w:firstLine="720"/>
        <w:rPr/>
      </w:pPr>
      <w:bookmarkStart w:id="70" w:name="i8f80cd4713b44eeabaf249dd536c3245_262196"/>
      <w:bookmarkEnd w:id="70"/>
      <w:r>
        <w:rPr>
          <w:rFonts w:ascii="Times New Roman;sans-serif" w:hAnsi="Times New Roman;sans-serif"/>
          <w:b w:val="false"/>
          <w:color w:val="000000"/>
          <w:sz w:val="24"/>
        </w:rPr>
        <w:t>11.08    </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xml:space="preserve">. The Agents shall not be responsible or liable for any failure or delay in the performance of its obligations under this Agreement or any Operative Document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28650"/>
                <wp:effectExtent l="0" t="0" r="0" b="0"/>
                <wp:wrapNone/>
                <wp:docPr id="121" name="Frame12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arising out of or caused, directly or indirectly, by circumstances beyond its reasonable control, including, without limitation: acts of God; earthquakes; fire; flood; wars; acts of terrorism; civil or military disturbances; sabotage; epidemic; riots; interruptions, loss or malfunctions of utilities, computer (hardware or software) or communications services; accidents; labor disputes; acts of civil or military authority or governmental action; it being understood that the Security Trustee shall use commercially reasonable efforts which are consistent with current accepted practices in the banking industry to resume performance as soon as reasonably practicable under the circumstances.</w:t>
      </w:r>
    </w:p>
    <w:p>
      <w:pPr>
        <w:pStyle w:val="TextBody"/>
        <w:spacing w:lineRule="auto" w:line="240" w:before="0" w:after="240"/>
        <w:ind w:left="0" w:right="0" w:firstLine="720"/>
        <w:rPr/>
      </w:pPr>
      <w:bookmarkStart w:id="71" w:name="i8f80cd4713b44eeabaf249dd536c3245_262197"/>
      <w:bookmarkEnd w:id="71"/>
      <w:r>
        <w:rPr>
          <w:rFonts w:ascii="Times New Roman;sans-serif" w:hAnsi="Times New Roman;sans-serif"/>
          <w:b/>
          <w:color w:val="000000"/>
          <w:sz w:val="24"/>
        </w:rPr>
        <w:t>Section 12.</w:t>
      </w:r>
      <w:r>
        <w:rPr>
          <w:rFonts w:ascii="Times New Roman;sans-serif" w:hAnsi="Times New Roman;sans-serif"/>
          <w:b w:val="false"/>
          <w:color w:val="000000"/>
          <w:sz w:val="24"/>
          <w:u w:val="single"/>
        </w:rPr>
        <w:t>Notices, Communications, Confidentiality and Treatment of Information</w:t>
      </w:r>
      <w:r>
        <w:rPr>
          <w:rFonts w:ascii="Times New Roman;sans-serif" w:hAnsi="Times New Roman;sans-serif"/>
          <w:b w:val="false"/>
          <w:color w:val="000000"/>
          <w:sz w:val="24"/>
        </w:rPr>
        <w:t>.</w:t>
      </w:r>
    </w:p>
    <w:p>
      <w:pPr>
        <w:pStyle w:val="TextBody"/>
        <w:spacing w:lineRule="auto" w:line="240" w:before="0" w:after="240"/>
        <w:ind w:left="0" w:right="0" w:firstLine="720"/>
        <w:rPr/>
      </w:pPr>
      <w:bookmarkStart w:id="72" w:name="i8f80cd4713b44eeabaf249dd536c3245_262198"/>
      <w:bookmarkEnd w:id="72"/>
      <w:r>
        <w:rPr>
          <w:rFonts w:ascii="Times New Roman;sans-serif" w:hAnsi="Times New Roman;sans-serif"/>
          <w:b w:val="false"/>
          <w:color w:val="000000"/>
          <w:sz w:val="24"/>
        </w:rPr>
        <w:t>12.01    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All notices, demands, requests, consents and other communications provided for in this Agreement shall be given in the English language in writing, or by any telecommunication device capable of creating a written record (including, if an e-mail address is provided, electronic mail), and addressed to the party to be notified as follows:</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(i)    if to the Company, to it at</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Sun Country, Inc.</w:t>
        <w:br/>
        <w:t xml:space="preserve">2005 Cargo Road </w:t>
        <w:br/>
        <w:t xml:space="preserve">Minneapolis, Minnesota 55450 </w:t>
        <w:br/>
        <w:t xml:space="preserve">United States of America </w:t>
        <w:br/>
        <w:t>Email: Rose.Neale@suncountry.com; Bill.Trousdale@suncountry.com; legal@suncountry.com</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    if to the Facility Agent, to it at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UMB Bank, National Association</w:t>
        <w:br/>
        <w:t>6440 S. Millrock Drive, Suite 400</w:t>
        <w:br/>
        <w:t>Salt Lake City, Utah 84121</w:t>
        <w:br/>
        <w:t>Attention: Corporate Trusts-Aviation</w:t>
        <w:br/>
        <w:t>Phone: (385) 715-3058</w:t>
        <w:br/>
        <w:t xml:space="preserve">Email: corptrustutah@umb.com; dustin.green@umb.com </w:t>
      </w:r>
    </w:p>
    <w:p>
      <w:pPr>
        <w:pStyle w:val="TextBody"/>
        <w:spacing w:before="0" w:after="0"/>
        <w:rPr/>
      </w:pPr>
      <w:r>
        <w:rPr/>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(iii)    if to the Security Trustee and/or the Account Bank, to it at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UMB Bank, National Association</w:t>
        <w:br/>
        <w:t>6440 S. Millrock Drive, Suite 400</w:t>
        <w:br/>
        <w:t>Salt Lake City, Utah 84121</w:t>
        <w:br/>
        <w:t>Attention: Corporate Trusts-Aviation</w:t>
        <w:br/>
        <w:t>Phone: (385) 715-3058</w:t>
        <w:br/>
        <w:t xml:space="preserve">Email: corptrustutah@umb.com; dustin.green@umb.com </w:t>
      </w:r>
    </w:p>
    <w:p>
      <w:pPr>
        <w:pStyle w:val="TextBody"/>
        <w:spacing w:before="0" w:after="0"/>
        <w:rPr/>
      </w:pPr>
      <w:r>
        <w:rPr/>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(iv)    if to any Lender, to it at its address notified to the Facility Agent;</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or at such other address as shall be notified in writing (x) in the case of the Company, the Facility Agent and the Security Trustee, to the other parties and (y) in the case of all other parties, to the Company, the Facility Agent and the Security Trustee.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(b)    All notices, demands, requests, consents and other communications described in clause (a)  shall be effective (i) if delivered by hand, including any overnight courier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28650"/>
                <wp:effectExtent l="0" t="0" r="0" b="0"/>
                <wp:wrapNone/>
                <wp:docPr id="122" name="Frame12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4"/>
        </w:rPr>
        <w:t xml:space="preserve">service, upon personal delivery, (ii) if delivered by mail, five Business Days after deposited in the mails, and (iii) if delivered by electronic mail, when transmitted to an electronic mail address, as the case may be, as provided in clause (a);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notices and communications to the Facility Agent pursuant to Section 2 or Section 11 shall not be effective until received by the Facility Agent.</w:t>
      </w:r>
    </w:p>
    <w:p>
      <w:pPr>
        <w:pStyle w:val="TextBody"/>
        <w:spacing w:lineRule="auto" w:line="240" w:before="0" w:after="240"/>
        <w:ind w:left="0" w:right="0" w:firstLine="720"/>
        <w:rPr/>
      </w:pPr>
      <w:bookmarkStart w:id="73" w:name="i8f80cd4713b44eeabaf249dd536c3245_262199"/>
      <w:bookmarkEnd w:id="73"/>
      <w:r>
        <w:rPr>
          <w:rFonts w:ascii="Times New Roman;sans-serif" w:hAnsi="Times New Roman;sans-serif"/>
          <w:b w:val="false"/>
          <w:color w:val="000000"/>
          <w:sz w:val="24"/>
        </w:rPr>
        <w:t>12.02    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Each of the Agents and the Lenders agrees to maintain the confidentiality of the Information (as defined below) for a period of two years after the final payment of all amounts due hereunder, except that Information may be disclosed (a) on a need-to-know basis, to its Related Parties (it being understood that the Persons to whom such disclosure is made will be informed of the confidential nature of such Information and instructed to keep such Information confidential), (b) to the extent requested by applicable law or any regulatory authority purporting to have jurisdiction over it (including any self-regulatory authority, such as the National Association of Insurance Commissioners), (c) to any other party hereto, (d) in connection with the exercise of any remedies hereunder or under any other Operative Document, any action or proceeding relating to this Agreement or any other Operative Document, the enforcement of rights hereunder or thereunder or any litigation or proceeding to which any Agent or any Lender or any of its Affiliates may be a party, (e) subject to an agreement containing or incorporating provisions substantially the same as those of this Section 12.02,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surety, reinsurer, guarantor or credit liquidity enhancer (or their advisors), (f) with the consent of the Company or the Guarantor or (g) to the extent such Information becomes publicly available other than as a result of a breach of this Section. For purposes of this Section 12, “</w:t>
      </w:r>
      <w:r>
        <w:rPr>
          <w:rFonts w:ascii="Times New Roman;sans-serif" w:hAnsi="Times New Roman;sans-serif"/>
          <w:b/>
          <w:color w:val="000000"/>
          <w:sz w:val="24"/>
        </w:rPr>
        <w:t>Information</w:t>
      </w:r>
      <w:r>
        <w:rPr>
          <w:color w:val="000000"/>
        </w:rPr>
        <w:t xml:space="preserve">” </w:t>
      </w:r>
      <w:r>
        <w:rPr>
          <w:rFonts w:ascii="Times New Roman;sans-serif" w:hAnsi="Times New Roman;sans-serif"/>
          <w:b w:val="false"/>
          <w:color w:val="000000"/>
          <w:sz w:val="24"/>
        </w:rPr>
        <w:t xml:space="preserve">means this Agreement and non-publicly filed portions of the Security Documents and all information received from the Company relating to the Company or any of its businesses under or pursuant to this Agreement, other than any such information that is available to any Agent or any Lender on a nonconfidential basis prior to disclosure by the Company,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information received from the Company after the date hereof, such information is clearly identified at the time of delivery as confidential. Any Person required to maintain the confidentiality of Information as provided in this Section 12.02 shall be considered to have complied with its obligation to do so if such Person has exercised the same degree of care to maintain the confidentiality of such Information as such Person would accord to its own confidential information.</w:t>
      </w:r>
    </w:p>
    <w:p>
      <w:pPr>
        <w:pStyle w:val="TextBody"/>
        <w:spacing w:lineRule="auto" w:line="240" w:before="0" w:after="240"/>
        <w:ind w:left="0" w:right="0" w:firstLine="720"/>
        <w:rPr/>
      </w:pPr>
      <w:bookmarkStart w:id="74" w:name="i8f80cd4713b44eeabaf249dd536c3245_262200"/>
      <w:bookmarkEnd w:id="74"/>
      <w:r>
        <w:rPr>
          <w:rFonts w:ascii="Times New Roman;sans-serif" w:hAnsi="Times New Roman;sans-serif"/>
          <w:b/>
          <w:color w:val="000000"/>
          <w:sz w:val="24"/>
        </w:rPr>
        <w:t>Section 13.</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w:t>
      </w:r>
    </w:p>
    <w:p>
      <w:pPr>
        <w:pStyle w:val="TextBody"/>
        <w:spacing w:lineRule="auto" w:line="240" w:before="0" w:after="240"/>
        <w:ind w:left="0" w:right="0" w:firstLine="720"/>
        <w:rPr/>
      </w:pPr>
      <w:bookmarkStart w:id="75" w:name="i8f80cd4713b44eeabaf249dd536c3245_262201"/>
      <w:bookmarkEnd w:id="75"/>
      <w:r>
        <w:rPr>
          <w:rFonts w:ascii="Times New Roman;sans-serif" w:hAnsi="Times New Roman;sans-serif"/>
          <w:b w:val="false"/>
          <w:color w:val="000000"/>
          <w:sz w:val="24"/>
        </w:rPr>
        <w:t>13.01    </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No failure on the part of any Agent or any Lender to exercise and no delay in exercising, and no course of dealing with respect to, any right, remedy, power or privilege under any Operative Document shall operate as a waiver thereof, nor shall any single or partial exercise of any right, remedy, power or privilege under any Operative Document preclude any other or further exercise thereof or the exercise of any other right, remedy, power or privilege. The remedies provided herein are cumulative and not exclusive of any remedies provided by law.</w:t>
      </w:r>
    </w:p>
    <w:p>
      <w:pPr>
        <w:pStyle w:val="TextBody"/>
        <w:spacing w:lineRule="auto" w:line="240" w:before="0" w:after="240"/>
        <w:ind w:left="0" w:right="0" w:firstLine="720"/>
        <w:rPr/>
      </w:pPr>
      <w:bookmarkStart w:id="76" w:name="i8f80cd4713b44eeabaf249dd536c3245_262202"/>
      <w:bookmarkEnd w:id="76"/>
      <w:r>
        <w:rPr>
          <w:rFonts w:ascii="Times New Roman;sans-serif" w:hAnsi="Times New Roman;sans-serif"/>
          <w:b w:val="false"/>
          <w:color w:val="000000"/>
          <w:sz w:val="24"/>
        </w:rPr>
        <w:t>13.02    </w:t>
      </w:r>
      <w:r>
        <w:rPr>
          <w:rFonts w:ascii="Times New Roman;sans-serif" w:hAnsi="Times New Roman;sans-serif"/>
          <w:b w:val="false"/>
          <w:color w:val="000000"/>
          <w:sz w:val="24"/>
          <w:u w:val="single"/>
        </w:rPr>
        <w:t>Expenses, Etc</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Costs and Expenses</w:t>
      </w:r>
      <w:r>
        <w:rPr>
          <w:rFonts w:ascii="Times New Roman;sans-serif" w:hAnsi="Times New Roman;sans-serif"/>
          <w:b w:val="false"/>
          <w:color w:val="000000"/>
          <w:sz w:val="24"/>
        </w:rPr>
        <w:t xml:space="preserve">. The Company shall pay (i) all reasonable out-of-pocket expenses incurred by each Agent, the Lenders and their respective Affiliates (including the reasonable fees and expenses of Vedder Price P.C., special New York counsel to the Lenders, and subject to any separately agreed agreements regarding such fees), in connection with (x) the preparation, review, negotiation, execution and delivery of this Agreement and the other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28650"/>
                <wp:effectExtent l="0" t="0" r="0" b="0"/>
                <wp:wrapNone/>
                <wp:docPr id="123" name="Frame12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 xml:space="preserve">Operative Documents or any amendments, modifications or waivers of the provisions hereof or thereof (whether or not the transactions contemplated hereby or thereby shall be consummated), (y) the administration of the transactions contemplated hereby, including each Borrowing and Disposition (including the reasonable fees and expenses of local counsel), (ii) all reasonable out-of-pocket expenses incurred by the Agents and the Lenders (including the fees, charges and disbursements of counsel to the Agents and the Lenders) in connection with any Default, Event of Default, enforcement action, or the protection of their rights hereunder or in respect of the Collateral, including without limitation (A) in connection with this Agreement and the other Operative Documents, including its rights under this Section, or (B) in connection with the Loans made hereunder, including all such reasonable out-of-pocket expenses incurred during any workout, restructuring or negotiations in respect of such Loans and (iii) all transfer, stamp, documentary or other similar taxes, assessments or charges levied by any governmental or revenue authority in respect of this Agreement, any of the other Operative Documents or any other document referred to herein or therein and all costs, expenses, taxes, assessments and other charges incurred in connection with any filing, registration, recording or perfection of any security interest contemplated by any Operative Document or any other document referred to therein. The Company agrees to pay all costs, expenses and other charges in respect of each appraisal.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Indemnification by the Company</w:t>
      </w:r>
      <w:r>
        <w:rPr>
          <w:rFonts w:ascii="Times New Roman;sans-serif" w:hAnsi="Times New Roman;sans-serif"/>
          <w:b w:val="false"/>
          <w:color w:val="000000"/>
          <w:sz w:val="24"/>
        </w:rPr>
        <w:t>. The Company shall indemnify each Agent, each Lender and each Related Party of any of the foregoing Persons (each such Person being called an “</w:t>
      </w:r>
      <w:r>
        <w:rPr>
          <w:rFonts w:ascii="Times New Roman;sans-serif" w:hAnsi="Times New Roman;sans-serif"/>
          <w:b/>
          <w:color w:val="000000"/>
          <w:sz w:val="24"/>
        </w:rPr>
        <w:t>Indemnitee</w:t>
      </w:r>
      <w:r>
        <w:rPr>
          <w:color w:val="000000"/>
        </w:rPr>
        <w:t>”</w:t>
      </w:r>
      <w:r>
        <w:rPr>
          <w:rFonts w:ascii="Times New Roman;sans-serif" w:hAnsi="Times New Roman;sans-serif"/>
          <w:b w:val="false"/>
          <w:color w:val="000000"/>
          <w:sz w:val="24"/>
        </w:rPr>
        <w:t xml:space="preserve">) against, and hold each Indemnitee harmless from, any and all losses, claims, damages, liabilities and related reasonable expenses (including the reasonable fees, charges and disbursements of a single legal counsel to the Indemnitees) in each relevant jurisdiction, incurred by any Indemnitee or asserted against any Indemnitee by any third party or by the Company arising out of, in connection with, or as a result of (i) the execution or delivery of this Agreement, any other Operative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or (iii) any actual or prospective claim, litigation, investigation or proceeding relating to any of the foregoing, whether based on contract, tort or any other theory, whether brought by a third party or by the Company or the Guarantor and regardless of whether any Indemnitee is a party thereto, except to the extent such claim, damage, loss, liability or expense: (A) is found in a final, non-appealable judgment by a court of competent jurisdiction to have resulted primarily from such Indemnitee’s gross negligence or willful misconduct,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it is finally determined in such judicial proceeding that any claim, damage, loss, liability or expense of an Indemnitee has resulted from its gross negligence or willful misconduct, then such Indemnitee shall repay to the Company such portion of any amount previously paid by the Company under this Section 13.02(b) that is attributable to expenses incurred in relation to the act or omission of such Indemnitee that is the subject of such finding, (B) arises from a breach of any obligation of such Indemnitee to lend to the Company pursuant to this Agreement; (C) relates to Taxes (which are the subject of Section 5.05 hereof); (D) relates to the offer, sale, assignment (other than assignments pursuant to Section 5.06(b)), transfer, participation or other disposition by or on behalf of an Indemnitee of any Loan or all or any part of such Indemnitee’s interest in the Operative Documents, in each case other than in connection with any enforcement of the Operative Documents during the continuation of an Event of Default; (E) relates to a failure (so long as such failure rises to the level of gross negligence or willful misconduct) on the part of the Facility Agent or the Account Bank to distribute in accordance with the Loan Documents any amounts received and distributable by it thereunder or to perform its other obligations thereunder; or (F) relates to any claim to the extent such claim is an ordinary and usual operating or overhead expense (other than such expenses caused directly by the occurrence of an Event of Default). In the case of any claim indemnified by the Company hereunder that is covered by a policy of insurance maintained by the Company, but without limiting any right to receive indemnification hereunder,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28650"/>
                <wp:effectExtent l="0" t="0" r="0" b="0"/>
                <wp:wrapNone/>
                <wp:docPr id="124" name="Frame12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each Indemnitee agrees to cooperate, as far as commercially practicable and at the Company’s expense, with the insurers in the exercise of their rights to investigate, defend or compromise such claim as may be required to retain the benefits of such insurance with respect to such claim.</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Reimbursement by Lenders</w:t>
      </w:r>
      <w:r>
        <w:rPr>
          <w:rFonts w:ascii="Times New Roman;sans-serif" w:hAnsi="Times New Roman;sans-serif"/>
          <w:b w:val="false"/>
          <w:color w:val="000000"/>
          <w:sz w:val="24"/>
        </w:rPr>
        <w:t xml:space="preserve">. To the extent that the Company for any reason fails to indefeasibly pay any amount required under Section 13.02(a) or Section 13.02(b) to be paid by it to any Agent or any Related Party thereof, each Lender severally agrees to pay to such Agent or such Related Party, as the case may be,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in accordance with such Lender’s Commitment (determined as of the time that the applicable unreimbursed expense or indemnity payment is sought), such unpaid amount,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Lender shall be liable for any portion of such amounts, liabilities, obligations, losses, damages, costs, expenses or disbursements resulting from the Agent’s or such Related Party’s gross negligence or willful misconduct (in each case as determined by a court of competent jurisdiction pursuant to a non-appealable final order or verdict).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Waiver of Consequential Damages, Etc.</w:t>
      </w:r>
      <w:r>
        <w:rPr>
          <w:color w:val="000000"/>
        </w:rPr>
        <w:t xml:space="preserve"> </w:t>
      </w:r>
      <w:r>
        <w:rPr>
          <w:rFonts w:ascii="Times New Roman;sans-serif" w:hAnsi="Times New Roman;sans-serif"/>
          <w:b w:val="false"/>
          <w:color w:val="000000"/>
          <w:sz w:val="24"/>
        </w:rPr>
        <w:t>To the fullest extent permitted by applicable law, each party hereto agrees that it will not assert, and hereby waives, any claim against any other party hereto, on any theory of liability, for special, indirect, consequential or punitive damages (as opposed to direct or actual damages) arising out of, in connection with, or as a result of, any Operative Document or any agreement or instrument contemplated hereby, the transactions contemplated hereby or thereby, any Loan or the use of the proceeds thereof.</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All amounts due under this Section shall be payable not later than ten days after demand therefor.</w:t>
      </w:r>
    </w:p>
    <w:p>
      <w:pPr>
        <w:pStyle w:val="TextBody"/>
        <w:spacing w:lineRule="auto" w:line="240" w:before="0" w:after="240"/>
        <w:ind w:left="0" w:right="0" w:firstLine="720"/>
        <w:rPr/>
      </w:pPr>
      <w:bookmarkStart w:id="77" w:name="i8f80cd4713b44eeabaf249dd536c3245_262203"/>
      <w:bookmarkEnd w:id="77"/>
      <w:r>
        <w:rPr>
          <w:rFonts w:ascii="Times New Roman;sans-serif" w:hAnsi="Times New Roman;sans-serif"/>
          <w:b w:val="false"/>
          <w:color w:val="000000"/>
          <w:sz w:val="24"/>
        </w:rPr>
        <w:t>13.03    </w:t>
      </w:r>
      <w:r>
        <w:rPr>
          <w:rFonts w:ascii="Times New Roman;sans-serif" w:hAnsi="Times New Roman;sans-serif"/>
          <w:b w:val="false"/>
          <w:color w:val="000000"/>
          <w:sz w:val="24"/>
          <w:u w:val="single"/>
        </w:rPr>
        <w:t>Amendments, Etc</w:t>
      </w:r>
      <w:r>
        <w:rPr>
          <w:rFonts w:ascii="Times New Roman;sans-serif" w:hAnsi="Times New Roman;sans-serif"/>
          <w:b w:val="false"/>
          <w:color w:val="000000"/>
          <w:sz w:val="24"/>
        </w:rPr>
        <w:t xml:space="preserve">. Except as otherwise expressly provided in this Agreement, any provision of this Agreement may be modified or supplemented only by an instrument in writing signed by the Company, the Guarantor and the Majority Lenders, or by the Company, the Guarantor and the Facility Agent acting with the consent of the Majority Lenders, and any provision of this Agreement may be waived by the Majority Lenders or by the Facility Agent acting with the consent of the Majority Lenders;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no modification, supplement or waiver shall (A) increase or extend the term of any Commitment or the Loans of any Lender without the consent of such Lender, (B) extend the date fixed for the payment of principal of or interest on any Loan or any fee or other amounts hereunder, or reduce the amount of any such payment of principal, interest, fee or other amounts without the consent of each Lender adversely affected thereby or (C) reduce the rate at which interest is payable on such principal or any fee or other amount is payable hereunder without the consent of each Lender adversely affected thereby, (ii) no modification, supplement or waiver shall, unless by an instrument signed by all of the Lenders or the Facility Agent acting with the consent of all of the Lenders, (A) release any Property covered by any Security Document, except in connection with Dispositions permitted hereunder or as otherwise provided herein or in the Security Documents, (B) alter the terms of this Section 13.03, (C) modify Section 2.05, (D) change Section 4.01(a)(iv), Section 4.01(b), Section 4.04 or Section 4.06(b) in a manner that would alter the pro rata sharing of payments required thereby or (E) modify the definition of the term “Majority Lenders” or modify in any other manner the number or percentage of the Lenders required to make any determinations or waive any rights hereunder or to modify any provision hereof and (iii) any modification or supplement of Section 11, or of any of the rights or duties of an Agent hereunder, shall require the consent of such Agent.</w:t>
      </w:r>
    </w:p>
    <w:p>
      <w:pPr>
        <w:pStyle w:val="TextBody"/>
        <w:spacing w:lineRule="auto" w:line="240" w:before="0" w:after="240"/>
        <w:ind w:left="0" w:right="0" w:firstLine="720"/>
        <w:rPr/>
      </w:pPr>
      <w:bookmarkStart w:id="78" w:name="i8f80cd4713b44eeabaf249dd536c3245_262204"/>
      <w:bookmarkEnd w:id="78"/>
      <w:r>
        <w:rPr>
          <w:rFonts w:ascii="Times New Roman;sans-serif" w:hAnsi="Times New Roman;sans-serif"/>
          <w:b w:val="false"/>
          <w:color w:val="000000"/>
          <w:sz w:val="24"/>
        </w:rPr>
        <w:t>13.04    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Successors and Assigns Generally</w:t>
      </w:r>
      <w:r>
        <w:rPr>
          <w:rFonts w:ascii="Times New Roman;sans-serif" w:hAnsi="Times New Roman;sans-serif"/>
          <w:b w:val="false"/>
          <w:color w:val="000000"/>
          <w:sz w:val="24"/>
        </w:rPr>
        <w:t xml:space="preserve">. The provisions of this Agreement shall be binding upon and inure to the benefit of the parties hereto and their respective successors and assigns permitted hereby, except that the Company may not assign or otherwise transfer any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28650"/>
                <wp:effectExtent l="0" t="0" r="0" b="0"/>
                <wp:wrapNone/>
                <wp:docPr id="125" name="Frame124"/>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of its rights or obligations hereunder without the prior written consent of the Facility Agent and each Lender and no Lender may assign or otherwise transfer any of its rights or obligations hereunder except (i) to an assignee in accordance with the provisions of Section 13.04(b), (ii) by way of participation in accordance with the provisions of Section 13.04(d), or (iii) by way of pledge or assignment of a security interest pursuant to Section 13.04(e) (and any other attempted assignment or transfer by any party hereto shall be null and void). Nothing in this Agreement, express or implied, shall be construed to confer upon any Person (other than the parties hereto, their respective successors and assigns permitted hereby, Participants to the extent provided in paragraph (d) of this Section 13.04 and, to the extent expressly contemplated hereby, the respective Related Parties of each Agent and the Lenders) any legal or equitable right, remedy or claim under or by reason of this Agreement.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Assignments by Lenders</w:t>
      </w:r>
      <w:r>
        <w:rPr>
          <w:rFonts w:ascii="Times New Roman;sans-serif" w:hAnsi="Times New Roman;sans-serif"/>
          <w:b w:val="false"/>
          <w:color w:val="000000"/>
          <w:sz w:val="24"/>
        </w:rPr>
        <w:t xml:space="preserve">. Any Lender may at any time assign to one or more Eligible Assignees all or a portion of its rights and obligations under this Agreement (including all or a portion of the Loans at the time owing to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any such assignment shall be subject to the following conditions: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    </w:t>
      </w:r>
      <w:r>
        <w:rPr>
          <w:rFonts w:ascii="Times New Roman;sans-serif" w:hAnsi="Times New Roman;sans-serif"/>
          <w:b w:val="false"/>
          <w:color w:val="000000"/>
          <w:sz w:val="24"/>
          <w:u w:val="single"/>
        </w:rPr>
        <w:t>Minimum Amounts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in the case of an assignment of the entire remaining amount of the assigning Lender’s Loan at the time owing to it or in the case of an assignment to a Lender, an Affiliate of a Lender, or a member of the European System of Central Banks or of a Federal Reserve Bank, no minimum amount need be assigned; and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in any case not described in clause (A) above, the principal outstanding balance of the Loan of the assigning Lender subject to each such assignment (determined as of the date the Assignment and Assumption with respect to such assignment is delivered to the Facility Agent or, if “Trade Date” is specified in the Assignment and Assumption, as of the Trade Date) shall not be less than $5,000,000, unless, so long as no Default or Event of Default has occurred and is continuing, the Company otherwise consents (each such consent not to be unreasonably withheld or delayed).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(ii)    </w:t>
      </w:r>
      <w:r>
        <w:rPr>
          <w:rFonts w:ascii="Times New Roman;sans-serif" w:hAnsi="Times New Roman;sans-serif"/>
          <w:b w:val="false"/>
          <w:color w:val="000000"/>
          <w:sz w:val="24"/>
          <w:u w:val="single"/>
        </w:rPr>
        <w:t>Proportionate Amounts</w:t>
      </w:r>
      <w:r>
        <w:rPr>
          <w:rFonts w:ascii="Times New Roman;sans-serif" w:hAnsi="Times New Roman;sans-serif"/>
          <w:b w:val="false"/>
          <w:color w:val="000000"/>
          <w:sz w:val="24"/>
        </w:rPr>
        <w:t>. Each partial assignment shall be made as an assignment of a proportionate part of all the assigning Lender’s rights and obligations under this Agreement with respect to the Loan assigned.</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Required Consents</w:t>
      </w:r>
      <w:r>
        <w:rPr>
          <w:rFonts w:ascii="Times New Roman;sans-serif" w:hAnsi="Times New Roman;sans-serif"/>
          <w:b w:val="false"/>
          <w:color w:val="000000"/>
          <w:sz w:val="24"/>
        </w:rPr>
        <w:t>. No consent shall be required for any assignment except (A) to the extent required by clause (i)(B) above, (B) other than with respect to an assignment to NordLB, the consent of the Company shall be required during any period during which there are unfunded Commitments and (C) the consent of the Company shall be required if a proposed assignee is not an Eligible Assignee unless any Event of Default has occurred and is continuing at the time of such assignment.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(iv)    </w:t>
      </w:r>
      <w:r>
        <w:rPr>
          <w:rFonts w:ascii="Times New Roman;sans-serif" w:hAnsi="Times New Roman;sans-serif"/>
          <w:b w:val="false"/>
          <w:color w:val="000000"/>
          <w:sz w:val="24"/>
          <w:u w:val="single"/>
        </w:rPr>
        <w:t>Assignment and Assumption</w:t>
      </w:r>
      <w:r>
        <w:rPr>
          <w:rFonts w:ascii="Times New Roman;sans-serif" w:hAnsi="Times New Roman;sans-serif"/>
          <w:b w:val="false"/>
          <w:color w:val="000000"/>
          <w:sz w:val="24"/>
        </w:rPr>
        <w:t>. The parties to each assignment shall execute and deliver to the Facility Agent an Assignment and Assumption and the assignee, if it is not already a Lender, shall deliver to the Facility Agent a tax form as required under Section 5.05.</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(v)    </w:t>
      </w:r>
      <w:r>
        <w:rPr>
          <w:rFonts w:ascii="Times New Roman;sans-serif" w:hAnsi="Times New Roman;sans-serif"/>
          <w:b w:val="false"/>
          <w:color w:val="000000"/>
          <w:sz w:val="24"/>
          <w:u w:val="single"/>
        </w:rPr>
        <w:t>No Assignment to Natural Persons</w:t>
      </w:r>
      <w:r>
        <w:rPr>
          <w:rFonts w:ascii="Times New Roman;sans-serif" w:hAnsi="Times New Roman;sans-serif"/>
          <w:b w:val="false"/>
          <w:color w:val="000000"/>
          <w:sz w:val="24"/>
        </w:rPr>
        <w:t>. No such assignment shall be made to a natural person.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28650"/>
                <wp:effectExtent l="0" t="0" r="0" b="0"/>
                <wp:wrapNone/>
                <wp:docPr id="126" name="Frame125"/>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(vi)    </w:t>
      </w:r>
      <w:r>
        <w:rPr>
          <w:rFonts w:ascii="Times New Roman;sans-serif" w:hAnsi="Times New Roman;sans-serif"/>
          <w:b w:val="false"/>
          <w:color w:val="000000"/>
          <w:sz w:val="24"/>
          <w:u w:val="single"/>
        </w:rPr>
        <w:t>No Assignment to Cause Higher Cost</w:t>
      </w:r>
      <w:r>
        <w:rPr>
          <w:rFonts w:ascii="Times New Roman;sans-serif" w:hAnsi="Times New Roman;sans-serif"/>
          <w:b w:val="false"/>
          <w:color w:val="000000"/>
          <w:sz w:val="24"/>
        </w:rPr>
        <w:t>. Notwithstanding anything to the contrary contained herein the Company shall not be obliged to pay or indemnify for any amount representing a higher cost to the Company resulting from any increased costs or other amounts payable under Section 5.01, any increased amount payable under Section 5.02(a), or withholding tax or other amounts payable under Section 5.05 in each case arising as a result of an assignment that causes any such cost to increase by reference to any actual or proposed circumstance applicable the assignee (that does not apply to the assignor) or Change in Law that applies to the assignee (but not the assignor), in each case as measured at the date of the assignment.</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Subject to acceptance and recording thereof by the Facility Agent pursuant to paragraph (c) of this Section 13.04,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except for its obligations under Section 12.02 (and, in the case of an Assignment and Assumption covering all of the assigning Lender’s rights and obligations under this Agreement, such Lender shall cease to be a party hereto) but shall continue to be entitled to the benefits of Sections 5 and 12.02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13.04.</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Register</w:t>
      </w:r>
      <w:r>
        <w:rPr>
          <w:rFonts w:ascii="Times New Roman;sans-serif" w:hAnsi="Times New Roman;sans-serif"/>
          <w:b w:val="false"/>
          <w:color w:val="000000"/>
          <w:sz w:val="24"/>
        </w:rPr>
        <w:t>. The Facility Agent, acting solely for this purpose as an agent of the Company, shall maintain a copy of each Assignment and Assumption delivered to it and a register for the recordation of the names and addresses of the Lenders and the principal amounts of the Loans owing to each Lender pursuant to the terms hereof from time to time and the interest rate on the Loans (the “</w:t>
      </w:r>
      <w:r>
        <w:rPr>
          <w:rFonts w:ascii="Times New Roman;sans-serif" w:hAnsi="Times New Roman;sans-serif"/>
          <w:b/>
          <w:color w:val="000000"/>
          <w:sz w:val="24"/>
        </w:rPr>
        <w:t>Register</w:t>
      </w:r>
      <w:r>
        <w:rPr>
          <w:color w:val="000000"/>
        </w:rPr>
        <w:t>”</w:t>
      </w:r>
      <w:r>
        <w:rPr>
          <w:rFonts w:ascii="Times New Roman;sans-serif" w:hAnsi="Times New Roman;sans-serif"/>
          <w:b w:val="false"/>
          <w:color w:val="000000"/>
          <w:sz w:val="24"/>
        </w:rPr>
        <w:t>). The entries in the Register shall be conclusive in the absence of manifest error, and the Company, the Guarantor, each Agent and the Lenders may treat each Person whose name is recorded in the Register pursuant to the terms hereof as a Lender hereunder for all purposes of this Agreement, notwithstanding notice to the contrary. The Register shall be available for inspection by the Company and any Lender, at any reasonable time and from time to time upon reasonable prior notice. In order for an assignment to be recorded in the Register prior to any Payment Date, such assignment must have been received by the Facility Agent at least five (5) Business Days prior to such Payment Date. Any assignment received by the Facility Agent less than five (5) business days before a Payment Date shall instead be recorded in the Register after such Payment Date. In connection with any assignment, the Company shall pay to the Facility Agent a processing fee of $1,500 for each assignment, such amount to be payable on the Payment Date next succeeding such assignment.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 Any Lender may at any time, without the consent of, or notice to, the Company or the Facility Agent, sell participations to any Person (other than a natural person or the Company, the Guarantor or any of the Company’s or the Guarantor’s Affiliates) (each, a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xml:space="preserve">) in all or a portion of such Lender’s rights and/or obligations under this Agreement (including all or a portion of the Loan owing to it);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such Lender’s obligations under this Agreement shall remain unchanged, (ii) such Lender shall remain solely responsible to the other parties hereto for the performance of such obligations, (iii) the Company, the Guarantor, each Agent and the Lenders shall continue to deal solely and directly with such Lender in connection with such Lender’s rights and obligations under this Agreement, and (iv) notwithstanding anything to the contrary contained herein the Company shall not be obliged to pay or indemnify for any amount representing a higher cost to the Company resulting from any increased costs or other amounts payable under Section 5.01, any increased amount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28650"/>
                <wp:effectExtent l="0" t="0" r="0" b="0"/>
                <wp:wrapNone/>
                <wp:docPr id="127" name="Frame126"/>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payable under Section 5.02(a), or withholding tax or other amounts payable under Section 5.05 in each case arising as a result of a participation that causes any such cost to increase by reference to any actual or proposed circumstance applicable the Participant (that does not apply to the related Lender) or Change in Law that applies to the Participant (but not the related Lender), in each case as measured at the date of the participation.</w:t>
      </w:r>
    </w:p>
    <w:p>
      <w:pPr>
        <w:pStyle w:val="TextBody"/>
        <w:spacing w:lineRule="auto" w:line="240" w:before="0" w:after="240"/>
        <w:ind w:left="0" w:right="0" w:firstLine="1440"/>
        <w:rPr/>
      </w:pPr>
      <w:r>
        <w:rPr>
          <w:rFonts w:ascii="Times New Roman;sans-serif" w:hAnsi="Times New Roman;sans-serif"/>
          <w:b w:val="false"/>
          <w:color w:val="000000"/>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such agreement or instrument may provide that such Lender will not, without the consent of the Participant, agree to any amendment, modification or waiver that would (i) increase or extend the term of such Lender’s Loan, (ii) extend the date fixed for the payment of principal of or interest on the Loan or any portion of any fee hereunder payable to the Participant, (iii) reduce the amount of any such payment of principal, (iv) reduce the rate at which interest is payable thereon to a level below the rate at which the Participant is entitled to receive such interest, or (v) release any Property covered by any Security Document, except in connection with Dispositions permitted hereunder or as otherwise provided herein or in the Security Documents. Each Lender that sells a participation shall, acting solely for this purpose as a non-fiduciary agent of the Company, maintain a register on which it enters the name and address of each Participant and the principal amounts of (and stated interest on) each Participant’s interest in the Loans or other obligations under the Loan Documents. For the avoidance of doubt, the Facility Agent (in its capacity as Facility Agent) shall have no responsibility for maintaining a Participant Register. </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Certain Pledges</w:t>
      </w:r>
      <w:r>
        <w:rPr>
          <w:rFonts w:ascii="Times New Roman;sans-serif" w:hAnsi="Times New Roman;sans-serif"/>
          <w:b w:val="false"/>
          <w:color w:val="000000"/>
          <w:sz w:val="24"/>
        </w:rPr>
        <w:t xml:space="preserve">. Any Lender may at any time pledge or assign a security interest in all or any portion of its rights under this Agreement and any Note to secure obligations of such Lender, including any pledge or assignment to secure obligations to a Federal Reserve Bank;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pledge or assignment shall be at no cost to the Company and no such pledge or assignment shall release such Lender from any of its obligations hereunder or substitute any such pledgee or assignee for such Lender as a party hereto.</w:t>
      </w:r>
    </w:p>
    <w:p>
      <w:pPr>
        <w:pStyle w:val="TextBody"/>
        <w:spacing w:lineRule="auto" w:line="240" w:before="0" w:after="240"/>
        <w:ind w:left="0" w:right="0" w:firstLine="720"/>
        <w:rPr/>
      </w:pPr>
      <w:bookmarkStart w:id="79" w:name="i8f80cd4713b44eeabaf249dd536c3245_262205"/>
      <w:bookmarkEnd w:id="79"/>
      <w:r>
        <w:rPr>
          <w:rFonts w:ascii="Times New Roman;sans-serif" w:hAnsi="Times New Roman;sans-serif"/>
          <w:b w:val="false"/>
          <w:color w:val="000000"/>
          <w:sz w:val="24"/>
        </w:rPr>
        <w:t>13.05    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The obligations of the Company under Sections 5.01, 5.02, 5.04, 5.05, 11</w:t>
      </w:r>
      <w:r>
        <w:rPr>
          <w:rFonts w:ascii="Times New Roman;sans-serif" w:hAnsi="Times New Roman;sans-serif"/>
          <w:b w:val="false"/>
          <w:color w:val="000000"/>
          <w:sz w:val="16"/>
        </w:rPr>
        <w:t xml:space="preserve">, </w:t>
      </w:r>
      <w:r>
        <w:rPr>
          <w:rFonts w:ascii="Times New Roman;sans-serif" w:hAnsi="Times New Roman;sans-serif"/>
          <w:b w:val="false"/>
          <w:color w:val="000000"/>
          <w:sz w:val="24"/>
        </w:rPr>
        <w:t>12.02 and 13.02, and the obligations of the Lenders under Sections 11, 12.02 and 13.02, shall survive the resignation or removal of any Agent, the repayment of the Loans and the termination of the Commitments and, in the case of any Lender that may assign any interest in its Loan hereunder, shall survive, in the case of any event or circumstance that occurred prior to the effective date of such assignment, the making of such assignment, notwithstanding that such assigning Lender may cease to be a “Lender” hereunder. In addition, each representation and warranty made, or deemed to be made by a notice of any Loan, herein or pursuant hereto shall survive the making of such representation and warranty.</w:t>
      </w:r>
    </w:p>
    <w:p>
      <w:pPr>
        <w:pStyle w:val="TextBody"/>
        <w:spacing w:lineRule="auto" w:line="240" w:before="0" w:after="240"/>
        <w:ind w:left="0" w:right="0" w:firstLine="720"/>
        <w:rPr/>
      </w:pPr>
      <w:bookmarkStart w:id="80" w:name="i8f80cd4713b44eeabaf249dd536c3245_262206"/>
      <w:bookmarkEnd w:id="80"/>
      <w:r>
        <w:rPr>
          <w:rFonts w:ascii="Times New Roman;sans-serif" w:hAnsi="Times New Roman;sans-serif"/>
          <w:b w:val="false"/>
          <w:color w:val="000000"/>
          <w:sz w:val="24"/>
        </w:rPr>
        <w:t>13.06    </w:t>
      </w:r>
      <w:r>
        <w:rPr>
          <w:rFonts w:ascii="Times New Roman;sans-serif" w:hAnsi="Times New Roman;sans-serif"/>
          <w:b w:val="false"/>
          <w:color w:val="000000"/>
          <w:sz w:val="24"/>
          <w:u w:val="single"/>
        </w:rPr>
        <w:t>Captions</w:t>
      </w:r>
      <w:r>
        <w:rPr>
          <w:rFonts w:ascii="Times New Roman;sans-serif" w:hAnsi="Times New Roman;sans-serif"/>
          <w:b w:val="false"/>
          <w:color w:val="000000"/>
          <w:sz w:val="24"/>
        </w:rPr>
        <w:t>. The table of contents and captions and section headings appearing herein are included solely for convenience of reference and are not intended to affect the interpretation of any provision of this Agreement.</w:t>
      </w:r>
    </w:p>
    <w:p>
      <w:pPr>
        <w:pStyle w:val="TextBody"/>
        <w:spacing w:lineRule="auto" w:line="240" w:before="0" w:after="240"/>
        <w:ind w:left="0" w:right="0" w:firstLine="720"/>
        <w:rPr/>
      </w:pPr>
      <w:bookmarkStart w:id="81" w:name="i8f80cd4713b44eeabaf249dd536c3245_262207"/>
      <w:bookmarkEnd w:id="81"/>
      <w:r>
        <w:rPr>
          <w:rFonts w:ascii="Times New Roman;sans-serif" w:hAnsi="Times New Roman;sans-serif"/>
          <w:b w:val="false"/>
          <w:color w:val="000000"/>
          <w:sz w:val="24"/>
        </w:rPr>
        <w:t>13.07    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electronic transmission shall be effective as delivery of a manually executed counterpart of this Agreement.</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28650"/>
                <wp:effectExtent l="0" t="0" r="0" b="0"/>
                <wp:wrapNone/>
                <wp:docPr id="128" name="Frame127"/>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bookmarkStart w:id="82" w:name="i8f80cd4713b44eeabaf249dd536c3245_262208"/>
      <w:bookmarkEnd w:id="82"/>
      <w:r>
        <w:rPr>
          <w:rFonts w:ascii="Times New Roman;sans-serif" w:hAnsi="Times New Roman;sans-serif"/>
          <w:b w:val="false"/>
          <w:color w:val="000000"/>
          <w:sz w:val="24"/>
        </w:rPr>
        <w:t>13.08    </w:t>
      </w:r>
      <w:r>
        <w:rPr>
          <w:rFonts w:ascii="Times New Roman;sans-serif" w:hAnsi="Times New Roman;sans-serif"/>
          <w:b w:val="false"/>
          <w:color w:val="000000"/>
          <w:sz w:val="24"/>
          <w:u w:val="single"/>
        </w:rPr>
        <w:t>Governing Law; Jurisdiction, Service of Process and Venue</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and construed in accordance with, the law of the State of New York.</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(b)    </w:t>
      </w:r>
      <w:r>
        <w:rPr>
          <w:rFonts w:ascii="Times New Roman;sans-serif" w:hAnsi="Times New Roman;sans-serif"/>
          <w:b w:val="false"/>
          <w:color w:val="000000"/>
          <w:sz w:val="24"/>
          <w:u w:val="single"/>
        </w:rPr>
        <w:t>Submission to Jurisdiction</w:t>
      </w:r>
      <w:r>
        <w:rPr>
          <w:rFonts w:ascii="Times New Roman;sans-serif" w:hAnsi="Times New Roman;sans-serif"/>
          <w:b w:val="false"/>
          <w:color w:val="000000"/>
          <w:sz w:val="24"/>
        </w:rPr>
        <w:t>. Each of the parties hereto irrevocably and unconditionally submits, for itself and its Property, to the nonexclusive jurisdiction of the courts of the State of New York sitting in New York County and of the United States District Court for the Southern District of New York, and any applicable appellate court, in any action or proceeding arising out of or relating to any Operative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any Operative Document shall affect any right that any Agent or any Lender may otherwise have to bring any action or proceeding relating to any Operative Document against the Company, the Guarantor or their respective Property in the courts of any jurisdiction.</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(c)    </w:t>
      </w:r>
      <w:r>
        <w:rPr>
          <w:rFonts w:ascii="Times New Roman;sans-serif" w:hAnsi="Times New Roman;sans-serif"/>
          <w:b w:val="false"/>
          <w:color w:val="000000"/>
          <w:sz w:val="24"/>
          <w:u w:val="single"/>
        </w:rPr>
        <w:t>Service of Process</w:t>
      </w:r>
      <w:r>
        <w:rPr>
          <w:rFonts w:ascii="Times New Roman;sans-serif" w:hAnsi="Times New Roman;sans-serif"/>
          <w:b w:val="false"/>
          <w:color w:val="000000"/>
          <w:sz w:val="24"/>
        </w:rPr>
        <w:t>. Each party hereto irrevocably consents to the service of process out of any of the aforementioned courts in any such action or proceeding by the mailing of copies thereof by registered or certified mail, postage prepaid, to it at its address specified pursuant to Section 12.01, such service to become effective 30 days after such mailing.</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(d)    </w:t>
      </w:r>
      <w:r>
        <w:rPr>
          <w:rFonts w:ascii="Times New Roman;sans-serif" w:hAnsi="Times New Roman;sans-serif"/>
          <w:b w:val="false"/>
          <w:color w:val="000000"/>
          <w:sz w:val="24"/>
          <w:u w:val="single"/>
        </w:rPr>
        <w:t>Alternative Process</w:t>
      </w:r>
      <w:r>
        <w:rPr>
          <w:rFonts w:ascii="Times New Roman;sans-serif" w:hAnsi="Times New Roman;sans-serif"/>
          <w:b w:val="false"/>
          <w:color w:val="000000"/>
          <w:sz w:val="24"/>
        </w:rPr>
        <w:t>. Nothing herein shall in any way be deemed to limit the ability of any party hereto to serve any such process or summonses in any other manner permitted by applicable law.</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(e)    </w:t>
      </w:r>
      <w:r>
        <w:rPr>
          <w:rFonts w:ascii="Times New Roman;sans-serif" w:hAnsi="Times New Roman;sans-serif"/>
          <w:b w:val="false"/>
          <w:color w:val="000000"/>
          <w:sz w:val="24"/>
          <w:u w:val="single"/>
        </w:rPr>
        <w:t>Waiver of Venue, Etc.</w:t>
      </w:r>
      <w:r>
        <w:rPr>
          <w:color w:val="000000"/>
        </w:rPr>
        <w:t xml:space="preserve"> </w:t>
      </w:r>
      <w:r>
        <w:rPr>
          <w:rFonts w:ascii="Times New Roman;sans-serif" w:hAnsi="Times New Roman;sans-serif"/>
          <w:b w:val="false"/>
          <w:color w:val="000000"/>
          <w:sz w:val="24"/>
        </w:rPr>
        <w:t>Each of the parties hereto irrevocably and unconditionally waives, to the fullest extent permitted by applicable law, any objection that it may now or hereafter have to the laying of venue of any action or proceeding arising out of or relating to any Operative Document in any court referred to in subsection (b) of this Section. Each of the parties hereto hereby irrevocably waives, to the fullest extent permitted by applicable law, the defense of an inconvenient forum to the maintenance of such action or proceeding in any such court.</w:t>
      </w:r>
    </w:p>
    <w:p>
      <w:pPr>
        <w:pStyle w:val="TextBody"/>
        <w:spacing w:lineRule="auto" w:line="240" w:before="0" w:after="240"/>
        <w:ind w:left="0" w:right="0" w:firstLine="720"/>
        <w:rPr/>
      </w:pPr>
      <w:bookmarkStart w:id="83" w:name="i8f80cd4713b44eeabaf249dd536c3245_262209"/>
      <w:bookmarkEnd w:id="83"/>
      <w:r>
        <w:rPr>
          <w:rFonts w:ascii="Times New Roman;sans-serif" w:hAnsi="Times New Roman;sans-serif"/>
          <w:b w:val="false"/>
          <w:color w:val="000000"/>
          <w:sz w:val="24"/>
        </w:rPr>
        <w:t>13.09    </w:t>
      </w:r>
      <w:r>
        <w:rPr>
          <w:rFonts w:ascii="Times New Roman;sans-serif" w:hAnsi="Times New Roman;sans-serif"/>
          <w:b w:val="false"/>
          <w:color w:val="000000"/>
          <w:sz w:val="24"/>
          <w:u w:val="single"/>
        </w:rPr>
        <w:t>Waiver of Jury Trial</w:t>
      </w:r>
      <w:r>
        <w:rPr>
          <w:rFonts w:ascii="Times New Roman;sans-serif" w:hAnsi="Times New Roman;sans-serif"/>
          <w:b w:val="false"/>
          <w:color w:val="000000"/>
          <w:sz w:val="24"/>
        </w:rPr>
        <w:t>. EACH PARTY HERETO HEREBY IRREVOCABLY WAIVES, TO THE FULLEST EXTENT PERMITTED BY APPLICABLE LAW, ANY RIGHT IT MAY HAVE TO A TRIAL BY JURY IN ANY LEGAL PROCEEDING DIRECTLY OR INDIRECTLY ARISING OUT OF OR RELATING TO THIS AGREEMENT OR ANY OF THE OTHER OPERATIVE DOCUMENTS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spacing w:lineRule="auto" w:line="240" w:before="0" w:after="240"/>
        <w:ind w:left="0" w:right="0" w:firstLine="720"/>
        <w:rPr/>
      </w:pPr>
      <w:bookmarkStart w:id="84" w:name="i8f80cd4713b44eeabaf249dd536c3245_262210"/>
      <w:bookmarkEnd w:id="84"/>
      <w:r>
        <w:rPr>
          <w:rFonts w:ascii="Times New Roman;sans-serif" w:hAnsi="Times New Roman;sans-serif"/>
          <w:b w:val="false"/>
          <w:color w:val="000000"/>
          <w:sz w:val="24"/>
        </w:rPr>
        <w:t>13.10    </w:t>
      </w:r>
      <w:r>
        <w:rPr>
          <w:rFonts w:ascii="Times New Roman;sans-serif" w:hAnsi="Times New Roman;sans-serif"/>
          <w:b w:val="false"/>
          <w:color w:val="000000"/>
          <w:sz w:val="24"/>
          <w:u w:val="single"/>
        </w:rPr>
        <w:t>Waiver of Immunity</w:t>
      </w:r>
      <w:r>
        <w:rPr>
          <w:rFonts w:ascii="Times New Roman;sans-serif" w:hAnsi="Times New Roman;sans-serif"/>
          <w:b w:val="false"/>
          <w:color w:val="000000"/>
          <w:sz w:val="24"/>
        </w:rPr>
        <w:t xml:space="preserve">. To the extent that the Company or the Guarantor may be or become entitled to claim for itself or its Property or revenues any immunity on the ground of sovereignty or the like from suit, court jurisdiction, attachment prior to judgment, attachment in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28650"/>
                <wp:effectExtent l="0" t="0" r="0" b="0"/>
                <wp:wrapNone/>
                <wp:docPr id="129" name="Frame128"/>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aid of execution of a judgment or execution of a judgment, and to the extent that in any such jurisdiction there may be attributed such an immunity (whether or not claimed), the Company and the Guarantor hereby irrevocably agrees not to claim and hereby irrevocably waives such immunity with respect to its obligations under this Agreement and the other Operative Documents.</w:t>
      </w:r>
    </w:p>
    <w:p>
      <w:pPr>
        <w:pStyle w:val="TextBody"/>
        <w:spacing w:lineRule="auto" w:line="240" w:before="0" w:after="240"/>
        <w:ind w:left="0" w:right="0" w:firstLine="720"/>
        <w:rPr/>
      </w:pPr>
      <w:bookmarkStart w:id="85" w:name="i8f80cd4713b44eeabaf249dd536c3245_262211"/>
      <w:bookmarkEnd w:id="85"/>
      <w:r>
        <w:rPr>
          <w:rFonts w:ascii="Times New Roman;sans-serif" w:hAnsi="Times New Roman;sans-serif"/>
          <w:b w:val="false"/>
          <w:color w:val="000000"/>
          <w:sz w:val="24"/>
        </w:rPr>
        <w:t>13.11    </w:t>
      </w:r>
      <w:r>
        <w:rPr>
          <w:rFonts w:ascii="Times New Roman;sans-serif" w:hAnsi="Times New Roman;sans-serif"/>
          <w:b w:val="false"/>
          <w:color w:val="000000"/>
          <w:sz w:val="24"/>
          <w:u w:val="single"/>
        </w:rPr>
        <w:t>Interest Rate Limitation</w:t>
      </w:r>
      <w:r>
        <w:rPr>
          <w:rFonts w:ascii="Times New Roman;sans-serif" w:hAnsi="Times New Roman;sans-serif"/>
          <w:b w:val="false"/>
          <w:color w:val="000000"/>
          <w:sz w:val="24"/>
        </w:rPr>
        <w:t>. Notwithstanding anything herein to the contrary, if at any time the applicable interest rate, together with all fees and charges that are treated as interest under applicable law (collectively, the “</w:t>
      </w:r>
      <w:r>
        <w:rPr>
          <w:rFonts w:ascii="Times New Roman;sans-serif" w:hAnsi="Times New Roman;sans-serif"/>
          <w:b/>
          <w:color w:val="000000"/>
          <w:sz w:val="24"/>
        </w:rPr>
        <w:t>Charges</w:t>
      </w:r>
      <w:r>
        <w:rPr>
          <w:color w:val="000000"/>
        </w:rPr>
        <w:t>”</w:t>
      </w:r>
      <w:r>
        <w:rPr>
          <w:rFonts w:ascii="Times New Roman;sans-serif" w:hAnsi="Times New Roman;sans-serif"/>
          <w:b w:val="false"/>
          <w:color w:val="000000"/>
          <w:sz w:val="24"/>
        </w:rPr>
        <w:t>), as provided for herein or in any other document executed in connection herewith, or otherwise contracted for, charged, received, taken or reserved by any Lender or Agent, shall exceed the maximum lawful rate (the “</w:t>
      </w:r>
      <w:r>
        <w:rPr>
          <w:rFonts w:ascii="Times New Roman;sans-serif" w:hAnsi="Times New Roman;sans-serif"/>
          <w:b/>
          <w:color w:val="000000"/>
          <w:sz w:val="24"/>
        </w:rPr>
        <w:t>Maximum Rate</w:t>
      </w:r>
      <w:r>
        <w:rPr>
          <w:color w:val="000000"/>
        </w:rPr>
        <w:t>”</w:t>
      </w:r>
      <w:r>
        <w:rPr>
          <w:rFonts w:ascii="Times New Roman;sans-serif" w:hAnsi="Times New Roman;sans-serif"/>
          <w:b w:val="false"/>
          <w:color w:val="000000"/>
          <w:sz w:val="24"/>
        </w:rPr>
        <w:t>) that may be contracted for, charged, taken, received or reserved by such Lender in accordance with applicable law, the rate of interest payable hereunder, together with all Charges payable to such Lender or such Agent, shall be limited to the Maximum Rate, provided that such excess amount shall be paid to such Lender or such Agent on subsequent payment dates to the extent not exceeding the legal limitation.</w:t>
      </w:r>
    </w:p>
    <w:p>
      <w:pPr>
        <w:pStyle w:val="TextBody"/>
        <w:spacing w:lineRule="auto" w:line="240" w:before="0" w:after="240"/>
        <w:ind w:left="0" w:right="0" w:firstLine="720"/>
        <w:rPr/>
      </w:pPr>
      <w:bookmarkStart w:id="86" w:name="i8f80cd4713b44eeabaf249dd536c3245_262212"/>
      <w:bookmarkEnd w:id="86"/>
      <w:r>
        <w:rPr>
          <w:rFonts w:ascii="Times New Roman;sans-serif" w:hAnsi="Times New Roman;sans-serif"/>
          <w:b w:val="false"/>
          <w:color w:val="000000"/>
          <w:sz w:val="24"/>
        </w:rPr>
        <w:t>13.12    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and the other Operative Documents constitute the entire contract among the parties relating to the subject matter hereof and supersede any and all previous agreements and understandings, oral or written, relating to the subject matter hereof.</w:t>
      </w:r>
    </w:p>
    <w:p>
      <w:pPr>
        <w:pStyle w:val="TextBody"/>
        <w:spacing w:lineRule="auto" w:line="240" w:before="0" w:after="240"/>
        <w:ind w:left="0" w:right="0" w:firstLine="720"/>
        <w:rPr/>
      </w:pPr>
      <w:bookmarkStart w:id="87" w:name="i8f80cd4713b44eeabaf249dd536c3245_262213"/>
      <w:bookmarkEnd w:id="87"/>
      <w:r>
        <w:rPr>
          <w:rFonts w:ascii="Times New Roman;sans-serif" w:hAnsi="Times New Roman;sans-serif"/>
          <w:b w:val="false"/>
          <w:color w:val="000000"/>
          <w:sz w:val="24"/>
        </w:rPr>
        <w:t>13.13    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hereof is found by a court to be invalid or unenforceable, to the fullest extent permitted by applicable law the parties agree that such invalidity or unenforceability shall not impair the validity or enforceability of any other provision hereof.</w:t>
      </w:r>
    </w:p>
    <w:p>
      <w:pPr>
        <w:pStyle w:val="TextBody"/>
        <w:spacing w:lineRule="auto" w:line="240" w:before="0" w:after="240"/>
        <w:ind w:left="0" w:right="0" w:firstLine="720"/>
        <w:rPr/>
      </w:pPr>
      <w:bookmarkStart w:id="88" w:name="i8f80cd4713b44eeabaf249dd536c3245_262214"/>
      <w:bookmarkEnd w:id="88"/>
      <w:r>
        <w:rPr>
          <w:rFonts w:ascii="Times New Roman;sans-serif" w:hAnsi="Times New Roman;sans-serif"/>
          <w:b w:val="false"/>
          <w:color w:val="000000"/>
          <w:sz w:val="24"/>
        </w:rPr>
        <w:t>13.14    </w:t>
      </w:r>
      <w:r>
        <w:rPr>
          <w:rFonts w:ascii="Times New Roman;sans-serif" w:hAnsi="Times New Roman;sans-serif"/>
          <w:b w:val="false"/>
          <w:color w:val="000000"/>
          <w:sz w:val="24"/>
          <w:u w:val="single"/>
        </w:rPr>
        <w:t>No Advisory or Fiduciary Relationship</w:t>
      </w:r>
      <w:r>
        <w:rPr>
          <w:rFonts w:ascii="Times New Roman;sans-serif" w:hAnsi="Times New Roman;sans-serif"/>
          <w:b w:val="false"/>
          <w:color w:val="000000"/>
          <w:sz w:val="24"/>
        </w:rPr>
        <w:t>. Each of the Company and the Guarantor acknowledges and agrees that neither the Lenders nor the Agents have any fiduciary, advisory or agency relationship with, or fiduciary duty to, the Company or the Guarantor arising out of or in connection with this Agreement or the other Operative Documents, nor has any such relationship or duty been intended to be created in respect of the transactions contemplated hereby or the other Loan Documents. The relationship between each Lender and the Company is solely that of creditor and debtor and the relationship between each Lender and the Guarantor is solely that of guarantor and beneficiary. This Agreement and the other Operative Documents do not create a joint venture among the parties.</w:t>
      </w:r>
    </w:p>
    <w:p>
      <w:pPr>
        <w:pStyle w:val="TextBody"/>
        <w:spacing w:lineRule="auto" w:line="240" w:before="0" w:after="240"/>
        <w:ind w:left="0" w:right="0" w:firstLine="720"/>
        <w:rPr/>
      </w:pPr>
      <w:bookmarkStart w:id="89" w:name="i8f80cd4713b44eeabaf249dd536c3245_262215"/>
      <w:bookmarkEnd w:id="89"/>
      <w:r>
        <w:rPr>
          <w:rFonts w:ascii="Times New Roman;sans-serif" w:hAnsi="Times New Roman;sans-serif"/>
          <w:b w:val="false"/>
          <w:color w:val="000000"/>
          <w:sz w:val="24"/>
        </w:rPr>
        <w:t>13.15    </w:t>
      </w:r>
      <w:r>
        <w:rPr>
          <w:rFonts w:ascii="Times New Roman;sans-serif" w:hAnsi="Times New Roman;sans-serif"/>
          <w:b w:val="false"/>
          <w:color w:val="000000"/>
          <w:sz w:val="24"/>
          <w:u w:val="single"/>
        </w:rPr>
        <w:t>Compliance with Anti-Money Laundering Laws, Anti-Corruption Laws and Sanctions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Each of the Company and the Guarantor shall comply in all material respects with the requirements of applicable Anti-Money Laundering Laws, applicable Anti-Corruption Laws and applicable Sanctions.</w:t>
      </w:r>
    </w:p>
    <w:p>
      <w:pPr>
        <w:pStyle w:val="TextBody"/>
        <w:spacing w:lineRule="auto" w:line="240" w:before="0" w:after="240"/>
        <w:ind w:left="0" w:right="0" w:firstLine="720"/>
        <w:rPr/>
      </w:pPr>
      <w:r>
        <w:rPr>
          <w:color w:val="010101"/>
        </w:rPr>
        <w:t>    </w:t>
      </w:r>
      <w:r>
        <w:rPr>
          <w:rFonts w:ascii="Times New Roman;sans-serif" w:hAnsi="Times New Roman;sans-serif"/>
          <w:b w:val="false"/>
          <w:color w:val="010101"/>
          <w:sz w:val="24"/>
        </w:rPr>
        <w:t>(b)    Neither the Company nor the Guarantor shall lease or release, or authorize or direct the lease or release of, any Aircraft to any Lessee as a result of which such Aircraft would be, or would be permitted to be operated, in any Sanctioned Country in each case in</w:t>
      </w:r>
      <w:r>
        <w:rPr>
          <w:color w:val="000000"/>
        </w:rPr>
        <w:t xml:space="preserve"> </w:t>
      </w:r>
      <w:r>
        <w:rPr>
          <w:rFonts w:ascii="Times New Roman;sans-serif" w:hAnsi="Times New Roman;sans-serif"/>
          <w:b w:val="false"/>
          <w:color w:val="010101"/>
          <w:sz w:val="24"/>
        </w:rPr>
        <w:t>violation of applicable Sanctions.</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(c)    Each of the Company and the Guarantor shall promptly respond to any request by the Facility Agent, the Security Trustee or the Lenders to provide to the Facility Agent, the Security Trustee and the Lenders any information regarding the Company, the Guarantor and their respective Affiliates necessary for the Facility Agent, the Security Trustee and the Lenders to comply in all material respects with all applicable Anti-Money Laundering Laws, applicable Anti-Corruption Laws and applicable Sanctions.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28650"/>
                <wp:effectExtent l="0" t="0" r="0" b="0"/>
                <wp:wrapNone/>
                <wp:docPr id="130" name="Frame129"/>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r>
        <w:rPr>
          <w:color w:val="010101"/>
        </w:rPr>
        <w:t>    </w:t>
      </w:r>
      <w:r>
        <w:rPr>
          <w:rFonts w:ascii="Times New Roman;sans-serif" w:hAnsi="Times New Roman;sans-serif"/>
          <w:b w:val="false"/>
          <w:color w:val="010101"/>
          <w:sz w:val="24"/>
        </w:rPr>
        <w:t>(d)    Each of the Company and the Guarantor hereby represents and warrants to the Facility Agent, the Security Trustee and the Lenders that: (i) neither it nor any of its directors or officers or, to its knowledge, Affiliates, employees or agents is a Sanctioned Person; (ii) it has not in the past five years knowingly engaged in any activity or conduct which would constitute a material violation of any applicable Anti-Money Laundering Laws, applicable Anti-Corruption Laws or applicable Sanctions; and (iii) it has instituted and maintains and enforces policies and</w:t>
      </w:r>
      <w:r>
        <w:rPr>
          <w:color w:val="000000"/>
        </w:rPr>
        <w:t xml:space="preserve"> </w:t>
      </w:r>
      <w:r>
        <w:rPr>
          <w:rFonts w:ascii="Times New Roman;sans-serif" w:hAnsi="Times New Roman;sans-serif"/>
          <w:b w:val="false"/>
          <w:color w:val="010101"/>
          <w:sz w:val="24"/>
        </w:rPr>
        <w:t>procedures designed to promote and achieve compliance with such laws</w:t>
      </w:r>
      <w:r>
        <w:rPr>
          <w:rFonts w:ascii="Times New Roman;sans-serif" w:hAnsi="Times New Roman;sans-serif"/>
          <w:b w:val="false"/>
          <w:color w:val="000000"/>
          <w:sz w:val="24"/>
        </w:rPr>
        <w:t>.</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 xml:space="preserve">(e)    Neither the Company nor the Guarantor will, directly or indirectly, (i) use any part of the proceeds of the Loans, or lend, contribute or otherwise make available such proceeds to any Subsidiary, joint venture partner or other Person (A) to fund, finance or facilitate any activities, business or transactions of or with any Sanctioned Person in violation of applicable Sanctions or (B) in any other manner that would constitute or give rise to a violation of Sanctions by any party hereto. </w:t>
      </w:r>
    </w:p>
    <w:p>
      <w:pPr>
        <w:pStyle w:val="TextBody"/>
        <w:spacing w:lineRule="auto" w:line="240" w:before="0" w:after="240"/>
        <w:ind w:left="0" w:right="0" w:firstLine="720"/>
        <w:rPr/>
      </w:pPr>
      <w:r>
        <w:rPr>
          <w:color w:val="010101"/>
        </w:rPr>
        <w:t>    </w:t>
      </w:r>
      <w:r>
        <w:rPr>
          <w:rFonts w:ascii="Times New Roman;sans-serif" w:hAnsi="Times New Roman;sans-serif"/>
          <w:b w:val="false"/>
          <w:color w:val="010101"/>
          <w:sz w:val="24"/>
        </w:rPr>
        <w:t>(f)    Neither the Company nor the Guarantor will, directly or indirectly, use any part of the proceeds of the Loans for any purpose that would constitute a violation of applicable</w:t>
      </w:r>
      <w:r>
        <w:rPr>
          <w:color w:val="000000"/>
        </w:rPr>
        <w:t xml:space="preserve"> </w:t>
      </w:r>
      <w:r>
        <w:rPr>
          <w:rFonts w:ascii="Times New Roman;sans-serif" w:hAnsi="Times New Roman;sans-serif"/>
          <w:b w:val="false"/>
          <w:color w:val="010101"/>
          <w:sz w:val="24"/>
        </w:rPr>
        <w:t>Anti-Corruption Laws</w:t>
      </w:r>
      <w:r>
        <w:rPr>
          <w:rFonts w:ascii="Times New Roman;sans-serif" w:hAnsi="Times New Roman;sans-serif"/>
          <w:b w:val="false"/>
          <w:color w:val="000000"/>
          <w:sz w:val="24"/>
        </w:rPr>
        <w:t>.</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(g)    Each of the Company and the Guarantor acknowledges that in order for the Security Trustee, the Facility Agent and each Lender subject to the</w:t>
      </w:r>
      <w:r>
        <w:rPr>
          <w:color w:val="000000"/>
        </w:rPr>
        <w:t xml:space="preserve"> </w:t>
      </w:r>
      <w:r>
        <w:rPr>
          <w:rFonts w:ascii="Times New Roman;sans-serif" w:hAnsi="Times New Roman;sans-serif"/>
          <w:b w:val="false"/>
          <w:color w:val="000000"/>
          <w:sz w:val="24"/>
        </w:rPr>
        <w:t>Patriot Act, to comply with the requirements thereof, the Company and the Guarantor must provide such Lender, the Facility Agent and the Security Trustee with certain information or supporting documentation (collectively “</w:t>
      </w:r>
      <w:r>
        <w:rPr>
          <w:rFonts w:ascii="Times New Roman;sans-serif" w:hAnsi="Times New Roman;sans-serif"/>
          <w:b/>
          <w:color w:val="000000"/>
          <w:sz w:val="24"/>
        </w:rPr>
        <w:t>Documentation</w:t>
      </w:r>
      <w:r>
        <w:rPr>
          <w:color w:val="000000"/>
        </w:rPr>
        <w:t>”</w:t>
      </w:r>
      <w:r>
        <w:rPr>
          <w:rFonts w:ascii="Times New Roman;sans-serif" w:hAnsi="Times New Roman;sans-serif"/>
          <w:b w:val="false"/>
          <w:color w:val="000000"/>
          <w:sz w:val="24"/>
        </w:rPr>
        <w:t>) at the time of execution of this Agreement. Each such Lender, the Facility Agent and the Security Trustee is required by the Patriot Act to verify and record any Documentation provided by the Company and/or the Guarantor to validate the Company’s and/or the Guarantor’s, as the case may be, identity. Documentation that may be requested from the Company and the Guarantor may include, but is not limited to, a Federal Employer Identification Number (FEIN), a beneficial ownership certification, a good standing certificate, a certificate of incumbency to authenticate the management of the Company or the Guarantor, as the case may be, and other government issued certified documents to validate the Company’s and/or the Guarantor’s authorization to conduct business.</w:t>
      </w:r>
    </w:p>
    <w:p>
      <w:pPr>
        <w:pStyle w:val="TextBody"/>
        <w:spacing w:lineRule="auto" w:line="240" w:before="0" w:after="240"/>
        <w:ind w:left="0" w:right="0" w:firstLine="720"/>
        <w:rPr/>
      </w:pPr>
      <w:r>
        <w:rPr>
          <w:color w:val="000000"/>
        </w:rPr>
        <w:t>    </w:t>
      </w:r>
      <w:r>
        <w:rPr>
          <w:rFonts w:ascii="Times New Roman;sans-serif" w:hAnsi="Times New Roman;sans-serif"/>
          <w:b w:val="false"/>
          <w:color w:val="000000"/>
          <w:sz w:val="24"/>
        </w:rPr>
        <w:t>(h)    The usage of the term “Sanctions” (and any clauses in this Agreement which make use of the same) in this Agreement only shall apply, in relation to any Lender (a “</w:t>
      </w:r>
      <w:r>
        <w:rPr>
          <w:rFonts w:ascii="Times New Roman;sans-serif" w:hAnsi="Times New Roman;sans-serif"/>
          <w:b/>
          <w:color w:val="000000"/>
          <w:sz w:val="24"/>
        </w:rPr>
        <w:t>Restricted Lender</w:t>
      </w:r>
      <w:r>
        <w:rPr>
          <w:color w:val="000000"/>
        </w:rPr>
        <w:t>”</w:t>
      </w:r>
      <w:r>
        <w:rPr>
          <w:rFonts w:ascii="Times New Roman;sans-serif" w:hAnsi="Times New Roman;sans-serif"/>
          <w:b w:val="false"/>
          <w:color w:val="000000"/>
          <w:sz w:val="24"/>
        </w:rPr>
        <w:t xml:space="preserve">) that is situated in the European Union, to the extent that the usage of such term in any particular provision of this Agreement does not result in any violation of or conflict with any Blocking Regulation applicable to that Restricted Lender, but without in any way limiting the applicability or effectiveness of any applicable provision as between the other Lenders, the Facility Agent, the Security Trustee and the Company. In connection with any waiver, determination or direction relating to any provisions which do not apply for the benefit of a Restricted Lender by virtue of the foregoing sentence (but not with respect to any other parts which do apply for the benefit of a Restricted Lender), the parties hereto agree that the Commitment of that Restricted Lender will be excluded for the purpose of determining whether the consent of the Majority Lenders has been granted. The parties hereto agree that this Section 13.15(h) may not be amended without the prior written consent of any Restricted Lender. Notwithstanding the foregoing, the Facility Agent and the other parties to this Agreement other than such Restricted Lender shall be entitled to rely conclusively, without independent investigation or verification, on the written notice by a Restricted Lender to the Facility Agent promptly after a waiver, determination or direction is sought pursuant to the Operative Documents that such Restricted Lender’s Commitment shall be excluded with respect to such specified waiver, determination or direction in accordance with the foregoing sentence. No party to this Agreement other than such Restricted Lender shall have any duty to inquire or determine if this Section 13.15(h) shall apply with respect to any waiver, determination or direction of any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28650"/>
                <wp:effectExtent l="0" t="0" r="0" b="0"/>
                <wp:wrapNone/>
                <wp:docPr id="131" name="Frame130"/>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Restricted Lender (whether or not any other Restricted Lender shall have notified the Facility Agent as to its application as to such other Restricted Lender) and, if the Facility Agent shall not have received a written notice from a Restricted Lender instructing it to exclude such Restricted Lender’s Commitments in accordance with the prior sentence with respect to a particular waiver, determination or direction, the Facility Agent and the other parties to this Agreement shall determine whether the requisite Lenders have provided consent to a waiver, determination or direction as if such Restricted Lender’s Commitment were required to be included in the calculation of the requisite majority of Lenders.</w:t>
      </w:r>
    </w:p>
    <w:p>
      <w:pPr>
        <w:pStyle w:val="TextBody"/>
        <w:spacing w:lineRule="auto" w:line="240" w:before="0" w:after="240"/>
        <w:ind w:left="0" w:right="0" w:firstLine="720"/>
        <w:rPr/>
      </w:pPr>
      <w:bookmarkStart w:id="90" w:name="i8f80cd4713b44eeabaf249dd536c3245_262216"/>
      <w:bookmarkEnd w:id="90"/>
      <w:r>
        <w:rPr>
          <w:rFonts w:ascii="Times New Roman;sans-serif" w:hAnsi="Times New Roman;sans-serif"/>
          <w:b w:val="false"/>
          <w:color w:val="000000"/>
          <w:sz w:val="24"/>
        </w:rPr>
        <w:t>13.16    </w:t>
      </w:r>
      <w:r>
        <w:rPr>
          <w:rFonts w:ascii="Times New Roman;sans-serif" w:hAnsi="Times New Roman;sans-serif"/>
          <w:b w:val="false"/>
          <w:color w:val="000000"/>
          <w:sz w:val="24"/>
          <w:u w:val="single"/>
        </w:rPr>
        <w:t>Acknowledgement and Consent to Bail-In of Affected Financial Institutions</w:t>
      </w:r>
      <w:r>
        <w:rPr>
          <w:rFonts w:ascii="Times New Roman;sans-serif" w:hAnsi="Times New Roman;sans-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(a)    the application of any Write-Down and Conversion Powers by the applicable Resolution Authority to any such liabilities arising hereunder that may be payable to it by any party hereto that is an Affected Financial Institution; and</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(b)    the effects of any Bail-In Action on any such liability, including, if applicable:</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    a reduction in full or in part or cancellation of any such liability;</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spacing w:lineRule="auto" w:line="240" w:before="0" w:after="240"/>
        <w:ind w:left="0" w:right="0" w:firstLine="720"/>
        <w:rPr>
          <w:color w:val="000000"/>
        </w:rPr>
      </w:pPr>
      <w:r>
        <w:rPr>
          <w:color w:val="000000"/>
        </w:rPr>
        <w:t>    </w:t>
      </w:r>
      <w:r>
        <w:rPr>
          <w:rFonts w:ascii="Times New Roman;sans-serif" w:hAnsi="Times New Roman;sans-serif"/>
          <w:b w:val="false"/>
          <w:color w:val="000000"/>
          <w:sz w:val="24"/>
        </w:rPr>
        <w:t>(iii)    the variation of the terms of such liability in connection with the exercise of the write-down and conversion powers of the applicable Resolution Authority.</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28650"/>
                <wp:effectExtent l="0" t="0" r="0" b="0"/>
                <wp:wrapNone/>
                <wp:docPr id="132" name="Frame13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ind w:left="0" w:right="0" w:firstLine="720"/>
        <w:rPr/>
      </w:pPr>
      <w:r>
        <w:rPr>
          <w:rFonts w:ascii="Times New Roman;sans-serif" w:hAnsi="Times New Roman;sans-serif"/>
          <w:b/>
          <w:color w:val="000000"/>
          <w:sz w:val="24"/>
        </w:rPr>
        <w:t>IN WITNESS WHEREOF</w:t>
      </w:r>
      <w:r>
        <w:rPr>
          <w:rFonts w:ascii="Times New Roman;sans-serif" w:hAnsi="Times New Roman;sans-serif"/>
          <w:b w:val="false"/>
          <w:color w:val="000000"/>
          <w:sz w:val="24"/>
        </w:rPr>
        <w:t>, the parties hereto have caused this Agreement to be duly executed and delivered as of the day and year first above written.</w:t>
      </w:r>
    </w:p>
    <w:tbl>
      <w:tblPr>
        <w:tblW w:w="10205" w:type="dxa"/>
        <w:jc w:val="left"/>
        <w:tblInd w:w="0" w:type="dxa"/>
        <w:tblCellMar>
          <w:top w:w="28" w:type="dxa"/>
          <w:left w:w="28" w:type="dxa"/>
          <w:bottom w:w="28" w:type="dxa"/>
          <w:right w:w="28" w:type="dxa"/>
        </w:tblCellMar>
      </w:tblPr>
      <w:tblGrid>
        <w:gridCol w:w="124"/>
        <w:gridCol w:w="109"/>
        <w:gridCol w:w="109"/>
        <w:gridCol w:w="2987"/>
        <w:gridCol w:w="2843"/>
        <w:gridCol w:w="40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7" w:type="dxa"/>
            <w:tcBorders/>
            <w:shd w:fill="auto" w:val="clear"/>
            <w:vAlign w:val="center"/>
          </w:tcPr>
          <w:p>
            <w:pPr>
              <w:pStyle w:val="TableContents"/>
              <w:spacing w:before="0" w:after="283"/>
              <w:rPr>
                <w:sz w:val="4"/>
                <w:szCs w:val="4"/>
              </w:rPr>
            </w:pPr>
            <w:r>
              <w:rPr>
                <w:sz w:val="4"/>
                <w:szCs w:val="4"/>
              </w:rPr>
            </w:r>
          </w:p>
        </w:tc>
        <w:tc>
          <w:tcPr>
            <w:tcW w:w="2843" w:type="dxa"/>
            <w:tcBorders/>
            <w:shd w:fill="auto" w:val="clear"/>
            <w:vAlign w:val="center"/>
          </w:tcPr>
          <w:p>
            <w:pPr>
              <w:pStyle w:val="TableContents"/>
              <w:spacing w:before="0" w:after="283"/>
              <w:rPr>
                <w:sz w:val="4"/>
                <w:szCs w:val="4"/>
              </w:rPr>
            </w:pPr>
            <w:r>
              <w:rPr>
                <w:sz w:val="4"/>
                <w:szCs w:val="4"/>
              </w:rPr>
            </w:r>
          </w:p>
        </w:tc>
        <w:tc>
          <w:tcPr>
            <w:tcW w:w="40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SUN COUNTRY, INC. (d/b/a Sun Country Airlines)</w:t>
            </w:r>
          </w:p>
          <w:p>
            <w:pPr>
              <w:pStyle w:val="TableContents"/>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Name:</w:t>
            </w:r>
          </w:p>
          <w:p>
            <w:pPr>
              <w:pStyle w:val="TableContents"/>
              <w:spacing w:lineRule="auto" w:line="240" w:before="0" w:after="360"/>
              <w:jc w:val="left"/>
              <w:rPr>
                <w:color w:val="000000"/>
              </w:rPr>
            </w:pPr>
            <w:r>
              <w:rPr>
                <w:color w:val="000000"/>
              </w:rPr>
              <w:t>    </w:t>
            </w:r>
            <w:r>
              <w:rPr>
                <w:rFonts w:ascii="Times New Roman;sans-serif" w:hAnsi="Times New Roman;sans-serif"/>
                <w:b w:val="false"/>
                <w:color w:val="000000"/>
                <w:sz w:val="24"/>
              </w:rPr>
              <w:t>Title: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SUN COUNTRY AIRLINES HOLDINGS, INC.</w:t>
            </w:r>
          </w:p>
          <w:p>
            <w:pPr>
              <w:pStyle w:val="TableContents"/>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Name:</w:t>
            </w:r>
          </w:p>
          <w:p>
            <w:pPr>
              <w:pStyle w:val="TableContents"/>
              <w:spacing w:lineRule="auto" w:line="240" w:before="0" w:after="360"/>
              <w:jc w:val="left"/>
              <w:rPr>
                <w:color w:val="000000"/>
              </w:rPr>
            </w:pPr>
            <w:r>
              <w:rPr>
                <w:color w:val="000000"/>
              </w:rPr>
              <w:t>    </w:t>
            </w:r>
            <w:r>
              <w:rPr>
                <w:rFonts w:ascii="Times New Roman;sans-serif" w:hAnsi="Times New Roman;sans-serif"/>
                <w:b w:val="false"/>
                <w:color w:val="000000"/>
                <w:sz w:val="24"/>
              </w:rPr>
              <w:t>Title: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pPr>
            <w:r>
              <w:rPr>
                <w:rFonts w:ascii="Times New Roman;sans-serif" w:hAnsi="Times New Roman;sans-serif"/>
                <w:b/>
                <w:color w:val="000000"/>
                <w:sz w:val="24"/>
              </w:rPr>
              <w:t>MUFG BANK, LTD.</w:t>
            </w:r>
            <w:r>
              <w:rPr>
                <w:rFonts w:ascii="Times New Roman;sans-serif" w:hAnsi="Times New Roman;sans-serif"/>
                <w:b w:val="false"/>
                <w:color w:val="000000"/>
                <w:sz w:val="24"/>
              </w:rPr>
              <w:t>, as a Lender</w:t>
            </w:r>
          </w:p>
          <w:p>
            <w:pPr>
              <w:pStyle w:val="TableContents"/>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Name:</w:t>
            </w:r>
          </w:p>
          <w:p>
            <w:pPr>
              <w:pStyle w:val="TableContents"/>
              <w:spacing w:lineRule="auto" w:line="240" w:before="0" w:after="0"/>
              <w:jc w:val="left"/>
              <w:rPr/>
            </w:pPr>
            <w:r>
              <w:rPr>
                <w:color w:val="000000"/>
              </w:rPr>
              <w:t>    </w:t>
            </w:r>
            <w:r>
              <w:rPr>
                <w:rFonts w:ascii="Times New Roman;sans-serif" w:hAnsi="Times New Roman;sans-serif"/>
                <w:b w:val="false"/>
                <w:color w:val="000000"/>
                <w:sz w:val="24"/>
              </w:rPr>
              <w:t>Title:</w:t>
              <w:br/>
              <w:br/>
              <w:br/>
              <w:t>By:    </w:t>
            </w:r>
            <w:r>
              <w:rPr>
                <w:color w:val="000000"/>
                <w:u w:val="single"/>
              </w:rPr>
              <w:t>    </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Name:</w:t>
            </w:r>
          </w:p>
          <w:p>
            <w:pPr>
              <w:pStyle w:val="TableContents"/>
              <w:spacing w:lineRule="auto" w:line="240" w:before="0" w:after="360"/>
              <w:jc w:val="left"/>
              <w:rPr>
                <w:color w:val="000000"/>
              </w:rPr>
            </w:pPr>
            <w:r>
              <w:rPr>
                <w:color w:val="000000"/>
              </w:rPr>
              <w:t>    </w:t>
            </w:r>
            <w:r>
              <w:rPr>
                <w:rFonts w:ascii="Times New Roman;sans-serif" w:hAnsi="Times New Roman;sans-serif"/>
                <w:b w:val="false"/>
                <w:color w:val="000000"/>
                <w:sz w:val="24"/>
              </w:rPr>
              <w:t>Title: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pPr>
            <w:r>
              <w:rPr>
                <w:rFonts w:ascii="Times New Roman;sans-serif" w:hAnsi="Times New Roman;sans-serif"/>
                <w:b/>
                <w:color w:val="000000"/>
                <w:sz w:val="24"/>
              </w:rPr>
              <w:t>UMB BANK, NATIONAL ASSOCIATION</w:t>
            </w:r>
            <w:r>
              <w:rPr>
                <w:rFonts w:ascii="Times New Roman;sans-serif" w:hAnsi="Times New Roman;sans-serif"/>
                <w:b w:val="false"/>
                <w:color w:val="000000"/>
                <w:sz w:val="24"/>
              </w:rPr>
              <w:t>, not in its individual capacity but solely as Facility Agent, Security Trustee and Account Bank</w:t>
            </w:r>
          </w:p>
          <w:p>
            <w:pPr>
              <w:pStyle w:val="TableContents"/>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Name:</w:t>
            </w:r>
          </w:p>
          <w:p>
            <w:pPr>
              <w:pStyle w:val="TableContents"/>
              <w:spacing w:lineRule="auto" w:line="240" w:before="0" w:after="360"/>
              <w:jc w:val="left"/>
              <w:rPr>
                <w:color w:val="000000"/>
              </w:rPr>
            </w:pPr>
            <w:r>
              <w:rPr>
                <w:color w:val="000000"/>
              </w:rPr>
              <w:t>    </w:t>
            </w:r>
            <w:r>
              <w:rPr>
                <w:rFonts w:ascii="Times New Roman;sans-serif" w:hAnsi="Times New Roman;sans-serif"/>
                <w:b w:val="false"/>
                <w:color w:val="000000"/>
                <w:sz w:val="24"/>
              </w:rPr>
              <w:t>Title: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28650"/>
                <wp:effectExtent l="0" t="0" r="0" b="0"/>
                <wp:wrapNone/>
                <wp:docPr id="133" name="Frame132"/>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1060" w:type="dxa"/>
                        <w:jc w:val="left"/>
                        <w:tblInd w:w="0" w:type="dxa"/>
                        <w:tblCellMar>
                          <w:top w:w="28" w:type="dxa"/>
                          <w:left w:w="28" w:type="dxa"/>
                          <w:bottom w:w="28" w:type="dxa"/>
                          <w:right w:w="28" w:type="dxa"/>
                        </w:tblCellMar>
                      </w:tblPr>
                      <w:tblGrid>
                        <w:gridCol w:w="124"/>
                        <w:gridCol w:w="109"/>
                        <w:gridCol w:w="109"/>
                        <w:gridCol w:w="115"/>
                        <w:gridCol w:w="115"/>
                        <w:gridCol w:w="11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ANNEX 1</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Commitments</w:t>
      </w:r>
    </w:p>
    <w:tbl>
      <w:tblPr>
        <w:tblW w:w="4276" w:type="dxa"/>
        <w:jc w:val="left"/>
        <w:tblInd w:w="0" w:type="dxa"/>
        <w:tblCellMar>
          <w:top w:w="28" w:type="dxa"/>
          <w:left w:w="28" w:type="dxa"/>
          <w:bottom w:w="28" w:type="dxa"/>
          <w:right w:w="28" w:type="dxa"/>
        </w:tblCellMar>
      </w:tblPr>
      <w:tblGrid>
        <w:gridCol w:w="689"/>
        <w:gridCol w:w="606"/>
        <w:gridCol w:w="610"/>
        <w:gridCol w:w="475"/>
        <w:gridCol w:w="475"/>
        <w:gridCol w:w="476"/>
        <w:gridCol w:w="274"/>
        <w:gridCol w:w="274"/>
        <w:gridCol w:w="397"/>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Lender</w:t>
            </w:r>
          </w:p>
        </w:tc>
        <w:tc>
          <w:tcPr>
            <w:tcW w:w="23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Final Allocation</w:t>
            </w:r>
          </w:p>
        </w:tc>
      </w:tr>
      <w:tr>
        <w:trPr/>
        <w:tc>
          <w:tcPr>
            <w:tcW w:w="190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MUFG Bank, Ltd.</w:t>
            </w:r>
          </w:p>
        </w:tc>
        <w:tc>
          <w:tcPr>
            <w:tcW w:w="142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40"/>
              <w:jc w:val="right"/>
              <w:rPr>
                <w:rFonts w:ascii="Times New Roman;sans-serif" w:hAnsi="Times New Roman;sans-serif"/>
                <w:b w:val="false"/>
                <w:color w:val="000000"/>
                <w:sz w:val="24"/>
              </w:rPr>
            </w:pPr>
            <w:r>
              <w:rPr>
                <w:rFonts w:ascii="Times New Roman;sans-serif" w:hAnsi="Times New Roman;sans-serif"/>
                <w:b w:val="false"/>
                <w:color w:val="000000"/>
                <w:sz w:val="24"/>
              </w:rPr>
              <w:t>$119,200,000</w:t>
            </w:r>
          </w:p>
        </w:tc>
        <w:tc>
          <w:tcPr>
            <w:tcW w:w="94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13105"/>
                <wp:effectExtent l="0" t="0" r="0" b="0"/>
                <wp:wrapNone/>
                <wp:docPr id="134" name="Frame133"/>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628" w:type="dxa"/>
                              <w:jc w:val="left"/>
                              <w:tblInd w:w="0" w:type="dxa"/>
                              <w:tblCellMar>
                                <w:top w:w="28" w:type="dxa"/>
                                <w:left w:w="28" w:type="dxa"/>
                                <w:bottom w:w="28" w:type="dxa"/>
                                <w:right w:w="28" w:type="dxa"/>
                              </w:tblCellMar>
                            </w:tblPr>
                            <w:tblGrid>
                              <w:gridCol w:w="124"/>
                              <w:gridCol w:w="109"/>
                              <w:gridCol w:w="109"/>
                              <w:gridCol w:w="304"/>
                              <w:gridCol w:w="304"/>
                              <w:gridCol w:w="30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1</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628" w:type="dxa"/>
                        <w:jc w:val="left"/>
                        <w:tblInd w:w="0" w:type="dxa"/>
                        <w:tblCellMar>
                          <w:top w:w="28" w:type="dxa"/>
                          <w:left w:w="28" w:type="dxa"/>
                          <w:bottom w:w="28" w:type="dxa"/>
                          <w:right w:w="28" w:type="dxa"/>
                        </w:tblCellMar>
                      </w:tblPr>
                      <w:tblGrid>
                        <w:gridCol w:w="124"/>
                        <w:gridCol w:w="109"/>
                        <w:gridCol w:w="109"/>
                        <w:gridCol w:w="304"/>
                        <w:gridCol w:w="304"/>
                        <w:gridCol w:w="30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ANNEX 1</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SCHEDULE 1</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AIRCRAFT AND ENGINES</w:t>
      </w:r>
    </w:p>
    <w:tbl>
      <w:tblPr>
        <w:tblW w:w="9645" w:type="dxa"/>
        <w:jc w:val="left"/>
        <w:tblInd w:w="0" w:type="dxa"/>
        <w:tblCellMar>
          <w:top w:w="28" w:type="dxa"/>
          <w:left w:w="28" w:type="dxa"/>
          <w:bottom w:w="28" w:type="dxa"/>
          <w:right w:w="28" w:type="dxa"/>
        </w:tblCellMar>
      </w:tblPr>
      <w:tblGrid>
        <w:gridCol w:w="493"/>
        <w:gridCol w:w="434"/>
        <w:gridCol w:w="437"/>
        <w:gridCol w:w="234"/>
        <w:gridCol w:w="234"/>
        <w:gridCol w:w="238"/>
        <w:gridCol w:w="744"/>
        <w:gridCol w:w="744"/>
        <w:gridCol w:w="746"/>
        <w:gridCol w:w="403"/>
        <w:gridCol w:w="403"/>
        <w:gridCol w:w="409"/>
        <w:gridCol w:w="275"/>
        <w:gridCol w:w="275"/>
        <w:gridCol w:w="276"/>
        <w:gridCol w:w="274"/>
        <w:gridCol w:w="274"/>
        <w:gridCol w:w="278"/>
        <w:gridCol w:w="724"/>
        <w:gridCol w:w="724"/>
        <w:gridCol w:w="1026"/>
      </w:tblGrid>
      <w:tr>
        <w:trPr/>
        <w:tc>
          <w:tcPr>
            <w:tcW w:w="493"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Aircraft No.</w:t>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MSN</w:t>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Date of Manufacture</w:t>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Model</w:t>
            </w:r>
          </w:p>
        </w:tc>
        <w:tc>
          <w:tcPr>
            <w:tcW w:w="165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Engine Serial</w:t>
              <w:br/>
              <w:t>Numbers</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Aircraft Loan Amount</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40069</w:t>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11/12/2014</w:t>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737-900ER</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660456</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660457</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$22,390,000</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40070</w:t>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5/20/2015</w:t>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737-900ER</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660952</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660961</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$24,000,000</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40071</w:t>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11/3/2015</w:t>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737-900ER</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862557</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862575</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$24,970,000</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44424</w:t>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3/16/2015</w:t>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737-900ER</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660768</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660772</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$23,920,000</w:t>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44425</w:t>
            </w:r>
          </w:p>
        </w:tc>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5/27/2015</w:t>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737-900ER</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660998</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862120</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$23,920,000</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4"/>
              </w:rPr>
              <w:t>Total:</w:t>
            </w:r>
            <w:r>
              <w:rPr>
                <w:color w:val="000000"/>
              </w:rPr>
              <w:t xml:space="preserve"> </w:t>
            </w:r>
            <w:r>
              <w:rPr>
                <w:rFonts w:ascii="Times New Roman;sans-serif" w:hAnsi="Times New Roman;sans-serif"/>
                <w:b w:val="false"/>
                <w:color w:val="000000"/>
                <w:sz w:val="24"/>
              </w:rPr>
              <w:t>$119,200,000</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13105"/>
                <wp:effectExtent l="0" t="0" r="0" b="0"/>
                <wp:wrapNone/>
                <wp:docPr id="135" name="Frame134"/>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1</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1</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SCHEDULE 2</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INITIAL PERMITTED LEASE AND LEASE DOCUMENTS</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MSN 40069</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1.    Aircraft Operating Lease Agreement originally dated 6 November 2014 and amended and restated on 30 August 2017 between as APF 4 Projekt Nr. 6A GmbH as lessor and Oman Air SAOC as lessee.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2.    Acceptance Certificate dated 12 November 2014 from Oman Air SAOC as lessee to OBIC Leasing 1 Limited as lessor.</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3.    Deed of Novation and Amendment dated 30 August 2017 between OBIC Leasing 1 Limited as existing lessor, APF 4 Projekt Nr. 6A GmbH as new lessor and Oman Air SAOC as lessee.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4.    Effective Time Notice dated 31 August 2017 between OBIC Leasing 1 Limited as existing lessor, APF 4 Projekt Nr. 6A GmbH as new lessor and Oman Air SAOC as lessee.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5.    Security Deposit Standby Letter of Credit no. 840BGG1400971 originally dated 11 November 2014 and confirmation dated 30 August 2017 issued by Deutsche Bank AG, London Branch, as amended and transferred from time to time.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6.    Maintenance Reserve Standby Letter of Credit no. 840BGG1400972 originally dated 11 November 2014 and confirmation dated 30 August 2017 issued by Deutsche Bank AG, London Branch, as amended and transferred from time to time.</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MSN 40070</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1.    Aircraft Operating Lease Agreement originally dated 13 May 2015 and amended and restated on 30 August 2017 between APF 4 Projekt Nr. 6C GmbH as lessor and Oman Air SAOC as lessee.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2.    Acceptance Certificate dated 20 May 2015 from Oman Air SAOC as lessee to OBIC Leasing 3 Limited as lessor.</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3.    Deed of Novation and Amendment dated 30 August 2017 between OBIC Leasing 3 Limited as existing lessor, APF 4 Projekt Nr. 6C GmbH as new lessor and Oman Air SAOC as lessee.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4.    Effective Time Notice dated 31 August 2017 between OBIC Leasing 3 Limited as existing lessor, APF 4 Projekt Nr. 6C GmbH as new lessor and Oman Air SAOC as lessee.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5.    Security Deposit Standby Letter of Credit no. 840BGG1500402 originally dated 19 May 2015 and confirmation dated 30 August 2017 issued by Deutsche Bank AG, London Branch, as amended and transferred from time to time.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6.    Maintenance Reserve Standby Letter of Credit no. 840BGG1500403 originally dated 18 May 2015 and confirmation dated 30 August 2017 issued by Deutsche Bank AG, London Branch, as amended and transferred from time to time.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13105"/>
                <wp:effectExtent l="0" t="0" r="0" b="0"/>
                <wp:wrapNone/>
                <wp:docPr id="136" name="Frame135"/>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2</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2</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MSN 40071</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1.    Aircraft Operating Lease Agreement originally dated 27 October 2015 and amended and restated on 30 August 2017 between APF 4 Projekt Nr. 6E GmbH as lessor and Oman Air SAOC as lessee.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2.    Acceptance Certificate dated 3 November 2015 from Oman Air SAOC as lessee to OBIC Leasing 5 Limited as lessor.</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3.    Deed of Novation and Amendment dated 30 August 2017 between OBIC Leasing 5 Limited as existing lessor, APF 4 Projekt Nr. 6E GmbH as new lessor and Oman Air SAOC as lessee.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4.    Effective Time Notice dated 31 August 2017 between OBIC Leasing 5 Limited as existing lessor, APF 4 Projekt Nr. 6E GmbH as new lessor and Oman Air SAOC as lessee.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5.    Security Deposit Standby Letter of Credit no. 840BGG1501062 originally dated 28 October 2015 and confirmation dated 30 August 2017 issued by Deutsche Bank AG, London Branch, as amended and transferred from time to time.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6.    Maintenance Reserve Standby Letter of Credit no. 840BGG1501058 originally dated 28 October 2015 and confirmation dated 30 August 2017 issued by Deutsche Bank AG, London Branch, as amended and transferred from time to time. </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MSN 44424</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1.    Aircraft Operating Lease Agreement originally dated 10 March 2015 and amended and restated on 30 August 2017 between APF 4 Projekt Nr. 6B GmbH as lessor and Oman Air SAOC as lessee.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2.    Acceptance Certificate dated 16 March 2015 from Oman Air SAOC as lessee to OBIC Leasing 2 Limited as lessor.</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3.    Deed of Novation and Amendment dated 30 August 2017 between OBIC Leasing 2 Limited as existing lessor, APF 4 Projekt Nr. 6B GmbH as new lessor and Oman Air SAOC as lessee.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4.    Effective Time Notice dated 31 August 2017 between OBIC Leasing 2 Limited as existing lessor, APF 4 Projekt Nr. 6B GmbH as new lessor and Oman Air SAOC as lessee.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5.    Security Deposit Standby Letter of Credit no. 840BGG1500195 originally dated 12 March 2015 and confirmation dated 30 August 2017 issued by Deutsche Bank AG, London Branch, as amended and transferred from time to time.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6.    Maintenance Reserve Standby Letter of Credit no. 840BGG1500193 originally dated 12 March 2015 and confirmation dated 30 August 2017 issued by Deutsche Bank AG, London Branch, as amended and transferred from time to time.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13105"/>
                <wp:effectExtent l="0" t="0" r="0" b="0"/>
                <wp:wrapNone/>
                <wp:docPr id="137" name="Frame136"/>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2</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2</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MSN 44425</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1.    Aircraft Operating Lease Agreement originally dated 21 May 2015 and amended and restated on 30 August 2017 between APF 4 Projekt Nr. 6D GmbH as lessor and Oman Air SAOC as lessee.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2.    Acceptance Certificate dated 27 May 2015 from Oman Air SAOC as lessee to OBIC Leasing 4 Limited as lessor.</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3.    Deed of Novation and Amendment dated 30 August 2017 between OBIC Leasing 4 Limited as existing lessor, APF 4 Projekt Nr. 6D GmbH as new lessor and Oman Air SAOC as lessee.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4.    Effective Time Notice dated 31 August 2017 between OBIC Leasing 4 Limited as existing lessor, APF 4 Projekt Nr. 6D GmbH as new lessor and Oman Air SAOC as lessee.</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 xml:space="preserve">5.    Security Deposit Standby Letter of Credit no. 840BGG1500438 originally dated 27 May 2015 and confirmation dated 30 August 2017 issued by Deutsche Bank AG, London Branch, as amended and transferred from time to time. </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6.    Maintenance Reserve Standby Letter of Credit no. 840BGG1500439 originally dated 26 May 2015 and confirmation dated 30 August 2017 issued by Deutsche Bank AG, London Branch, as amended and transferred from time to time.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13105"/>
                <wp:effectExtent l="0" t="0" r="0" b="0"/>
                <wp:wrapNone/>
                <wp:docPr id="138" name="Frame137"/>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2</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2</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SCHEDULE 3</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AMORTIZATION SCHEDULES</w: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MSN 40069</w:t>
      </w:r>
    </w:p>
    <w:tbl>
      <w:tblPr>
        <w:tblW w:w="2790" w:type="dxa"/>
        <w:jc w:val="center"/>
        <w:tblInd w:w="0" w:type="dxa"/>
        <w:tblCellMar>
          <w:top w:w="28" w:type="dxa"/>
          <w:left w:w="28" w:type="dxa"/>
          <w:bottom w:w="28" w:type="dxa"/>
          <w:right w:w="28" w:type="dxa"/>
        </w:tblCellMar>
      </w:tblPr>
      <w:tblGrid>
        <w:gridCol w:w="239"/>
        <w:gridCol w:w="210"/>
        <w:gridCol w:w="212"/>
        <w:gridCol w:w="623"/>
        <w:gridCol w:w="623"/>
        <w:gridCol w:w="883"/>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color w:val="FFFFFF"/>
                <w:sz w:val="20"/>
              </w:rPr>
            </w:pPr>
            <w:r>
              <w:rPr>
                <w:rFonts w:ascii="Calibri;sans-serif" w:hAnsi="Calibri;sans-serif"/>
                <w:b/>
                <w:color w:val="FFFFFF"/>
                <w:sz w:val="20"/>
              </w:rPr>
              <w:t>Period</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color w:val="FFFFFF"/>
                <w:sz w:val="20"/>
              </w:rPr>
            </w:pPr>
            <w:r>
              <w:rPr>
                <w:rFonts w:ascii="Calibri;sans-serif" w:hAnsi="Calibri;sans-serif"/>
                <w:b/>
                <w:color w:val="FFFFFF"/>
                <w:sz w:val="20"/>
              </w:rPr>
              <w:t>Total Minimum Principal</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0</w:t>
            </w:r>
          </w:p>
        </w:tc>
        <w:tc>
          <w:tcPr>
            <w:tcW w:w="2129" w:type="dxa"/>
            <w:gridSpan w:val="3"/>
            <w:tcBorders>
              <w:top w:val="single" w:sz="6" w:space="0" w:color="000000"/>
              <w:left w:val="single" w:sz="6" w:space="0" w:color="000000"/>
              <w:right w:val="single" w:sz="6"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$232,700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240,730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236,080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244,013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239,516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241,228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229,008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225,004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232,950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229,112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231,167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244,694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235,435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243,134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239,727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247,325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244,094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246,283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253,726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250,766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206,874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206,652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208,507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216,370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212,191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216,041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215,991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219,835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219,858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221,831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225,666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225,802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229,630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229,844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231,905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239,215</w:t>
            </w:r>
          </w:p>
        </w:tc>
      </w:tr>
      <w:tr>
        <w:trPr/>
        <w:tc>
          <w:tcPr>
            <w:tcW w:w="661"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37</w:t>
            </w:r>
          </w:p>
        </w:tc>
        <w:tc>
          <w:tcPr>
            <w:tcW w:w="2129"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235,996</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13105"/>
                <wp:effectExtent l="0" t="0" r="0" b="0"/>
                <wp:wrapNone/>
                <wp:docPr id="139" name="Frame138"/>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1168" w:type="dxa"/>
        <w:jc w:val="center"/>
        <w:tblInd w:w="0" w:type="dxa"/>
        <w:tblCellMar>
          <w:top w:w="28" w:type="dxa"/>
          <w:left w:w="28" w:type="dxa"/>
          <w:bottom w:w="28" w:type="dxa"/>
          <w:right w:w="28" w:type="dxa"/>
        </w:tblCellMar>
      </w:tblPr>
      <w:tblGrid>
        <w:gridCol w:w="124"/>
        <w:gridCol w:w="109"/>
        <w:gridCol w:w="109"/>
        <w:gridCol w:w="242"/>
        <w:gridCol w:w="242"/>
        <w:gridCol w:w="34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239,799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240,219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244,010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244,516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246,708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250,480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251,121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254,877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255,611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257,902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264,493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262,445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266,159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267,137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270,831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271,911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274,348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278,011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279,250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282,890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284,239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286,785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291,426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291,869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295,446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297,082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300,630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302,387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305,095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308,599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310,542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314,014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316,086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318,916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323,468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324,518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327,901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330,310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333,654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336,203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339,213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342,497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345,265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348,506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351,423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354,569</w:t>
            </w:r>
          </w:p>
        </w:tc>
      </w:tr>
      <w:tr>
        <w:trPr/>
        <w:tc>
          <w:tcPr>
            <w:tcW w:w="342"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84</w:t>
            </w:r>
          </w:p>
        </w:tc>
        <w:tc>
          <w:tcPr>
            <w:tcW w:w="826"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357,742</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13105"/>
                <wp:effectExtent l="0" t="0" r="0" b="0"/>
                <wp:wrapNone/>
                <wp:docPr id="140" name="Frame139"/>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rPr/>
      </w:pPr>
      <w:r>
        <w:rPr/>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MSN 40070</w:t>
      </w:r>
    </w:p>
    <w:tbl>
      <w:tblPr>
        <w:tblW w:w="2790" w:type="dxa"/>
        <w:jc w:val="center"/>
        <w:tblInd w:w="0" w:type="dxa"/>
        <w:tblCellMar>
          <w:top w:w="28" w:type="dxa"/>
          <w:left w:w="28" w:type="dxa"/>
          <w:bottom w:w="28" w:type="dxa"/>
          <w:right w:w="28" w:type="dxa"/>
        </w:tblCellMar>
      </w:tblPr>
      <w:tblGrid>
        <w:gridCol w:w="239"/>
        <w:gridCol w:w="210"/>
        <w:gridCol w:w="212"/>
        <w:gridCol w:w="623"/>
        <w:gridCol w:w="623"/>
        <w:gridCol w:w="883"/>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color w:val="FFFFFF"/>
                <w:sz w:val="20"/>
              </w:rPr>
            </w:pPr>
            <w:r>
              <w:rPr>
                <w:rFonts w:ascii="Calibri;sans-serif" w:hAnsi="Calibri;sans-serif"/>
                <w:b/>
                <w:color w:val="FFFFFF"/>
                <w:sz w:val="20"/>
              </w:rPr>
              <w:t>Period</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tcMar>
            <w:vAlign w:val="center"/>
          </w:tcPr>
          <w:p>
            <w:pPr>
              <w:pStyle w:val="TableContents"/>
              <w:spacing w:lineRule="auto" w:line="240" w:before="0" w:after="283"/>
              <w:jc w:val="center"/>
              <w:rPr>
                <w:rFonts w:ascii="Calibri;sans-serif" w:hAnsi="Calibri;sans-serif"/>
                <w:b/>
                <w:color w:val="FFFFFF"/>
                <w:sz w:val="20"/>
              </w:rPr>
            </w:pPr>
            <w:r>
              <w:rPr>
                <w:rFonts w:ascii="Calibri;sans-serif" w:hAnsi="Calibri;sans-serif"/>
                <w:b/>
                <w:color w:val="FFFFFF"/>
                <w:sz w:val="20"/>
              </w:rPr>
              <w:t>Total Minimum Principal</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0</w:t>
            </w:r>
          </w:p>
        </w:tc>
        <w:tc>
          <w:tcPr>
            <w:tcW w:w="2129" w:type="dxa"/>
            <w:gridSpan w:val="3"/>
            <w:tcBorders>
              <w:top w:val="single" w:sz="6" w:space="0" w:color="000000"/>
              <w:left w:val="single" w:sz="6" w:space="0" w:color="000000"/>
              <w:right w:val="single" w:sz="6"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$217,883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226,250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221,003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229,278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224,175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225,750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213,904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209,276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217,579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213,107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215,020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229,424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219,007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227,080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223,010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230,988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227,083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229,120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236,954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233,300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241,035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237,554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239,685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258,138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244,148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251,627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238,794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243,042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243,067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245,246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249,484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249,634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253,863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254,099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256,377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264,453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260,897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265,098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265,562</w:t>
            </w:r>
          </w:p>
        </w:tc>
      </w:tr>
      <w:tr>
        <w:trPr/>
        <w:tc>
          <w:tcPr>
            <w:tcW w:w="661"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40</w:t>
            </w:r>
          </w:p>
        </w:tc>
        <w:tc>
          <w:tcPr>
            <w:tcW w:w="2129"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269,750</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13105"/>
                <wp:effectExtent l="0" t="0" r="0" b="0"/>
                <wp:wrapNone/>
                <wp:docPr id="141" name="Frame140"/>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1168" w:type="dxa"/>
        <w:jc w:val="center"/>
        <w:tblInd w:w="0" w:type="dxa"/>
        <w:tblCellMar>
          <w:top w:w="28" w:type="dxa"/>
          <w:left w:w="28" w:type="dxa"/>
          <w:bottom w:w="28" w:type="dxa"/>
          <w:right w:w="28" w:type="dxa"/>
        </w:tblCellMar>
      </w:tblPr>
      <w:tblGrid>
        <w:gridCol w:w="124"/>
        <w:gridCol w:w="109"/>
        <w:gridCol w:w="109"/>
        <w:gridCol w:w="242"/>
        <w:gridCol w:w="242"/>
        <w:gridCol w:w="34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270,310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272,732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276,899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277,607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281,757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282,568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285,100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292,381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290,119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294,222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295,302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299,383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300,577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303,269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307,316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308,685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312,707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314,197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317,011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322,138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322,628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326,579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328,387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332,307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334,248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337,240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341,111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343,258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347,094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349,383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352,510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357,539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358,700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362,437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365,098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368,793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371,610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374,935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378,563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381,621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385,202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388,425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391,901</w:t>
            </w:r>
          </w:p>
        </w:tc>
      </w:tr>
      <w:tr>
        <w:trPr/>
        <w:tc>
          <w:tcPr>
            <w:tcW w:w="342"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84</w:t>
            </w:r>
          </w:p>
        </w:tc>
        <w:tc>
          <w:tcPr>
            <w:tcW w:w="826"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395,407</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13105"/>
                <wp:effectExtent l="0" t="0" r="0" b="0"/>
                <wp:wrapNone/>
                <wp:docPr id="142" name="Frame141"/>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MSN 40071</w:t>
      </w:r>
    </w:p>
    <w:tbl>
      <w:tblPr>
        <w:tblW w:w="2790" w:type="dxa"/>
        <w:jc w:val="center"/>
        <w:tblInd w:w="0" w:type="dxa"/>
        <w:tblCellMar>
          <w:top w:w="28" w:type="dxa"/>
          <w:left w:w="28" w:type="dxa"/>
          <w:bottom w:w="28" w:type="dxa"/>
          <w:right w:w="28" w:type="dxa"/>
        </w:tblCellMar>
      </w:tblPr>
      <w:tblGrid>
        <w:gridCol w:w="239"/>
        <w:gridCol w:w="210"/>
        <w:gridCol w:w="212"/>
        <w:gridCol w:w="623"/>
        <w:gridCol w:w="623"/>
        <w:gridCol w:w="883"/>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color w:val="FFFFFF"/>
                <w:sz w:val="20"/>
              </w:rPr>
            </w:pPr>
            <w:r>
              <w:rPr>
                <w:rFonts w:ascii="Calibri;sans-serif" w:hAnsi="Calibri;sans-serif"/>
                <w:b/>
                <w:color w:val="FFFFFF"/>
                <w:sz w:val="20"/>
              </w:rPr>
              <w:t>Period</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color w:val="FFFFFF"/>
                <w:sz w:val="20"/>
              </w:rPr>
            </w:pPr>
            <w:r>
              <w:rPr>
                <w:rFonts w:ascii="Calibri;sans-serif" w:hAnsi="Calibri;sans-serif"/>
                <w:b/>
                <w:color w:val="FFFFFF"/>
                <w:sz w:val="20"/>
              </w:rPr>
              <w:t>Total Minimum Principal</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0</w:t>
            </w:r>
          </w:p>
        </w:tc>
        <w:tc>
          <w:tcPr>
            <w:tcW w:w="2129" w:type="dxa"/>
            <w:gridSpan w:val="3"/>
            <w:tcBorders>
              <w:top w:val="single" w:sz="6" w:space="0" w:color="000000"/>
              <w:left w:val="single" w:sz="6" w:space="0" w:color="000000"/>
              <w:right w:val="single" w:sz="6"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$201,989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210,504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204,841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213,271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207,740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209,176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197,830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192,753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201,224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196,291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198,053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212,966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201,743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210,001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205,438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213,610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209,199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211,077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219,115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214,937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222,884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218,865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220,829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240,289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224,965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232,674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229,070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236,682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233,247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235,339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242,803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239,626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276,414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276,672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279,150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287,939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284,069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288,641</w:t>
            </w:r>
          </w:p>
        </w:tc>
      </w:tr>
      <w:tr>
        <w:trPr/>
        <w:tc>
          <w:tcPr>
            <w:tcW w:w="661"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39</w:t>
            </w:r>
          </w:p>
        </w:tc>
        <w:tc>
          <w:tcPr>
            <w:tcW w:w="2129"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289,146</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713105"/>
                <wp:effectExtent l="0" t="0" r="0" b="0"/>
                <wp:wrapNone/>
                <wp:docPr id="143" name="Frame142"/>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1168" w:type="dxa"/>
        <w:jc w:val="center"/>
        <w:tblInd w:w="0" w:type="dxa"/>
        <w:tblCellMar>
          <w:top w:w="28" w:type="dxa"/>
          <w:left w:w="28" w:type="dxa"/>
          <w:bottom w:w="28" w:type="dxa"/>
          <w:right w:w="28" w:type="dxa"/>
        </w:tblCellMar>
      </w:tblPr>
      <w:tblGrid>
        <w:gridCol w:w="124"/>
        <w:gridCol w:w="109"/>
        <w:gridCol w:w="109"/>
        <w:gridCol w:w="242"/>
        <w:gridCol w:w="242"/>
        <w:gridCol w:w="34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293,703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294,312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296,948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301,483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302,253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306,770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307,652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310,407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318,331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315,869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320,334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321,509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325,951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327,250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330,179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334,583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336,073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340,450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342,072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345,133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350,712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351,245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355,545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357,513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361,779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363,891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367,147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371,360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373,696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377,870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380,361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383,764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389,237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390,500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394,567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397,463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401,484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404,549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408,168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412,116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415,443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419,340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422,848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426,630</w:t>
            </w:r>
          </w:p>
        </w:tc>
      </w:tr>
      <w:tr>
        <w:trPr/>
        <w:tc>
          <w:tcPr>
            <w:tcW w:w="342"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84</w:t>
            </w:r>
          </w:p>
        </w:tc>
        <w:tc>
          <w:tcPr>
            <w:tcW w:w="826"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430,445</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13105"/>
                <wp:effectExtent l="0" t="0" r="0" b="0"/>
                <wp:wrapNone/>
                <wp:docPr id="144" name="Frame143"/>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6</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MSN 44424</w:t>
      </w:r>
    </w:p>
    <w:tbl>
      <w:tblPr>
        <w:tblW w:w="2790" w:type="dxa"/>
        <w:jc w:val="center"/>
        <w:tblInd w:w="0" w:type="dxa"/>
        <w:tblCellMar>
          <w:top w:w="28" w:type="dxa"/>
          <w:left w:w="28" w:type="dxa"/>
          <w:bottom w:w="28" w:type="dxa"/>
          <w:right w:w="28" w:type="dxa"/>
        </w:tblCellMar>
      </w:tblPr>
      <w:tblGrid>
        <w:gridCol w:w="239"/>
        <w:gridCol w:w="210"/>
        <w:gridCol w:w="212"/>
        <w:gridCol w:w="623"/>
        <w:gridCol w:w="623"/>
        <w:gridCol w:w="883"/>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color w:val="FFFFFF"/>
                <w:sz w:val="20"/>
              </w:rPr>
            </w:pPr>
            <w:r>
              <w:rPr>
                <w:rFonts w:ascii="Calibri;sans-serif" w:hAnsi="Calibri;sans-serif"/>
                <w:b/>
                <w:color w:val="FFFFFF"/>
                <w:sz w:val="20"/>
              </w:rPr>
              <w:t>Period</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color w:val="FFFFFF"/>
                <w:sz w:val="20"/>
              </w:rPr>
            </w:pPr>
            <w:r>
              <w:rPr>
                <w:rFonts w:ascii="Calibri;sans-serif" w:hAnsi="Calibri;sans-serif"/>
                <w:b/>
                <w:color w:val="FFFFFF"/>
                <w:sz w:val="20"/>
              </w:rPr>
              <w:t>Total Minimum Principal</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0</w:t>
            </w:r>
          </w:p>
        </w:tc>
        <w:tc>
          <w:tcPr>
            <w:tcW w:w="2129" w:type="dxa"/>
            <w:gridSpan w:val="3"/>
            <w:tcBorders>
              <w:top w:val="single" w:sz="6" w:space="0" w:color="000000"/>
              <w:left w:val="single" w:sz="6" w:space="0" w:color="000000"/>
              <w:right w:val="single" w:sz="6"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$225,921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234,326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229,170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237,481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232,473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234,115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221,961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217,442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225,777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221,419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223,406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237,789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227,543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235,639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231,699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239,696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235,927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238,043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245,891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242,383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250,128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246,800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249,013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267,313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231,250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235,443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235,389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239,577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239,602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241,751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245,929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246,077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250,246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250,479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252,725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260,688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257,181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261,323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261,781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265,910</w:t>
            </w:r>
          </w:p>
        </w:tc>
      </w:tr>
      <w:tr>
        <w:trPr/>
        <w:tc>
          <w:tcPr>
            <w:tcW w:w="661"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41</w:t>
            </w:r>
          </w:p>
        </w:tc>
        <w:tc>
          <w:tcPr>
            <w:tcW w:w="2129"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266,462</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13105"/>
                <wp:effectExtent l="0" t="0" r="0" b="0"/>
                <wp:wrapNone/>
                <wp:docPr id="145" name="Frame144"/>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7</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1168" w:type="dxa"/>
        <w:jc w:val="center"/>
        <w:tblInd w:w="0" w:type="dxa"/>
        <w:tblCellMar>
          <w:top w:w="28" w:type="dxa"/>
          <w:left w:w="28" w:type="dxa"/>
          <w:bottom w:w="28" w:type="dxa"/>
          <w:right w:w="28" w:type="dxa"/>
        </w:tblCellMar>
      </w:tblPr>
      <w:tblGrid>
        <w:gridCol w:w="124"/>
        <w:gridCol w:w="109"/>
        <w:gridCol w:w="109"/>
        <w:gridCol w:w="242"/>
        <w:gridCol w:w="242"/>
        <w:gridCol w:w="34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268,850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272,958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273,656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277,748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278,548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281,044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288,223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285,992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290,037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291,102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295,127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296,303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298,957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302,947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304,297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308,263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309,732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312,506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317,561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318,044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321,939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323,722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327,587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329,501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332,451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336,267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338,384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342,166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344,423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347,506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352,464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353,609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357,294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359,917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363,560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366,337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369,616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373,193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376,208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379,738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382,916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386,342</w:t>
            </w:r>
          </w:p>
        </w:tc>
      </w:tr>
      <w:tr>
        <w:trPr/>
        <w:tc>
          <w:tcPr>
            <w:tcW w:w="342"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84</w:t>
            </w:r>
          </w:p>
        </w:tc>
        <w:tc>
          <w:tcPr>
            <w:tcW w:w="826"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389,799</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713105"/>
                <wp:effectExtent l="0" t="0" r="0" b="0"/>
                <wp:wrapNone/>
                <wp:docPr id="146" name="Frame145"/>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8</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jc w:val="center"/>
        <w:rPr/>
      </w:pPr>
      <w:r>
        <w:rPr/>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MSN 44425</w:t>
      </w:r>
    </w:p>
    <w:tbl>
      <w:tblPr>
        <w:tblW w:w="2790" w:type="dxa"/>
        <w:jc w:val="center"/>
        <w:tblInd w:w="0" w:type="dxa"/>
        <w:tblCellMar>
          <w:top w:w="28" w:type="dxa"/>
          <w:left w:w="28" w:type="dxa"/>
          <w:bottom w:w="28" w:type="dxa"/>
          <w:right w:w="28" w:type="dxa"/>
        </w:tblCellMar>
      </w:tblPr>
      <w:tblGrid>
        <w:gridCol w:w="239"/>
        <w:gridCol w:w="210"/>
        <w:gridCol w:w="212"/>
        <w:gridCol w:w="623"/>
        <w:gridCol w:w="623"/>
        <w:gridCol w:w="883"/>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color w:val="FFFFFF"/>
                <w:sz w:val="20"/>
              </w:rPr>
            </w:pPr>
            <w:r>
              <w:rPr>
                <w:rFonts w:ascii="Calibri;sans-serif" w:hAnsi="Calibri;sans-serif"/>
                <w:b/>
                <w:color w:val="FFFFFF"/>
                <w:sz w:val="20"/>
              </w:rPr>
              <w:t>Period</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color w:val="FFFFFF"/>
                <w:sz w:val="20"/>
              </w:rPr>
            </w:pPr>
            <w:r>
              <w:rPr>
                <w:rFonts w:ascii="Calibri;sans-serif" w:hAnsi="Calibri;sans-serif"/>
                <w:b/>
                <w:color w:val="FFFFFF"/>
                <w:sz w:val="20"/>
              </w:rPr>
              <w:t>Total Minimum Principal</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0</w:t>
            </w:r>
          </w:p>
        </w:tc>
        <w:tc>
          <w:tcPr>
            <w:tcW w:w="2129" w:type="dxa"/>
            <w:gridSpan w:val="3"/>
            <w:tcBorders>
              <w:top w:val="single" w:sz="6" w:space="0" w:color="000000"/>
              <w:left w:val="single" w:sz="6" w:space="0" w:color="000000"/>
              <w:right w:val="single" w:sz="6"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$219,957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228,317</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223,111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231,379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226,318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227,911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215,993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211,411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219,705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215,280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217,212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231,576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221,238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229,300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225,280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233,246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229,393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231,451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239,272</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235,673</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243,394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239,969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242,121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260,484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246,628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254,089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236,961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241,176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241,201</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243,364</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31</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247,569</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32</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247,718</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33</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251,915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34</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252,150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35</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254,410</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36</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262,425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37</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258,896</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38</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263,065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39</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263,525</w:t>
            </w:r>
          </w:p>
        </w:tc>
      </w:tr>
      <w:tr>
        <w:trPr/>
        <w:tc>
          <w:tcPr>
            <w:tcW w:w="661"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40</w:t>
            </w:r>
          </w:p>
        </w:tc>
        <w:tc>
          <w:tcPr>
            <w:tcW w:w="2129"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267,682</w:t>
            </w:r>
          </w:p>
        </w:tc>
      </w:tr>
      <w:tr>
        <w:trPr/>
        <w:tc>
          <w:tcPr>
            <w:tcW w:w="661"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41</w:t>
            </w:r>
          </w:p>
        </w:tc>
        <w:tc>
          <w:tcPr>
            <w:tcW w:w="2129"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268,237</w:t>
            </w:r>
          </w:p>
        </w:tc>
      </w:tr>
    </w:tbl>
    <w:p>
      <w:pPr>
        <w:pStyle w:val="TextBody"/>
        <w:spacing w:before="0" w:after="0"/>
        <w:jc w:val="right"/>
        <w:rPr/>
      </w:pPr>
      <w:r>
        <w:br w:type="page"/>
      </w: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13105"/>
                <wp:effectExtent l="0" t="0" r="0" b="0"/>
                <wp:wrapNone/>
                <wp:docPr id="147" name="Frame146"/>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9</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tbl>
      <w:tblPr>
        <w:tblW w:w="1168" w:type="dxa"/>
        <w:jc w:val="center"/>
        <w:tblInd w:w="0" w:type="dxa"/>
        <w:tblCellMar>
          <w:top w:w="28" w:type="dxa"/>
          <w:left w:w="28" w:type="dxa"/>
          <w:bottom w:w="28" w:type="dxa"/>
          <w:right w:w="28" w:type="dxa"/>
        </w:tblCellMar>
      </w:tblPr>
      <w:tblGrid>
        <w:gridCol w:w="124"/>
        <w:gridCol w:w="109"/>
        <w:gridCol w:w="109"/>
        <w:gridCol w:w="242"/>
        <w:gridCol w:w="242"/>
        <w:gridCol w:w="34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270,641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274,776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275,479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279,597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280,402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282,914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290,140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49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287,896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291,967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293,039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297,090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298,274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300,946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304,962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306,321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310,312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311,791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314,583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319,671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320,157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324,078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325,872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329,763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331,689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334,658</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338,500</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340,631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69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344,437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346,709</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349,812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354,803</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355,955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74</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359,664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75</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362,304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76</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365,971</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77</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368,766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78</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372,066</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79</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375,667</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80</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378,702</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81</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382,255</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82</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385,454</w:t>
            </w:r>
          </w:p>
        </w:tc>
      </w:tr>
      <w:tr>
        <w:trPr/>
        <w:tc>
          <w:tcPr>
            <w:tcW w:w="342" w:type="dxa"/>
            <w:gridSpan w:val="3"/>
            <w:tcBorders>
              <w:top w:val="single" w:sz="6" w:space="0" w:color="000000"/>
              <w:left w:val="single" w:sz="6" w:space="0" w:color="000000"/>
            </w:tcBorders>
            <w:shd w:fill="auto" w:val="clear"/>
            <w:tcMar>
              <w:top w:w="3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83</w:t>
            </w:r>
          </w:p>
        </w:tc>
        <w:tc>
          <w:tcPr>
            <w:tcW w:w="826" w:type="dxa"/>
            <w:gridSpan w:val="3"/>
            <w:tcBorders>
              <w:top w:val="single" w:sz="6" w:space="0" w:color="000000"/>
              <w:left w:val="single" w:sz="6" w:space="0" w:color="000000"/>
              <w:right w:val="single" w:sz="6" w:space="0" w:color="000000"/>
            </w:tcBorders>
            <w:shd w:fill="auto" w:val="clear"/>
            <w:tcMar>
              <w:top w:w="30" w:type="dxa"/>
              <w:bottom w:w="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388,903</w:t>
            </w:r>
          </w:p>
        </w:tc>
      </w:tr>
      <w:tr>
        <w:trPr/>
        <w:tc>
          <w:tcPr>
            <w:tcW w:w="342" w:type="dxa"/>
            <w:gridSpan w:val="3"/>
            <w:tcBorders>
              <w:top w:val="single" w:sz="6" w:space="0" w:color="000000"/>
              <w:left w:val="single" w:sz="6" w:space="0" w:color="000000"/>
              <w:bottom w:val="single" w:sz="6" w:space="0" w:color="000000"/>
            </w:tcBorders>
            <w:shd w:fill="auto" w:val="clear"/>
            <w:tcMar>
              <w:top w:w="30" w:type="dxa"/>
              <w:bottom w:w="3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84</w:t>
            </w:r>
          </w:p>
        </w:tc>
        <w:tc>
          <w:tcPr>
            <w:tcW w:w="826" w:type="dxa"/>
            <w:gridSpan w:val="3"/>
            <w:tcBorders>
              <w:top w:val="single" w:sz="6" w:space="0" w:color="000000"/>
              <w:left w:val="single" w:sz="6" w:space="0" w:color="000000"/>
              <w:bottom w:val="single" w:sz="6" w:space="0" w:color="000000"/>
              <w:right w:val="single" w:sz="6" w:space="0" w:color="000000"/>
            </w:tcBorders>
            <w:shd w:fill="auto" w:val="clear"/>
            <w:tcMar>
              <w:top w:w="30" w:type="dxa"/>
              <w:bottom w:w="30" w:type="dxa"/>
              <w:right w:w="75" w:type="dxa"/>
            </w:tcMar>
            <w:vAlign w:val="center"/>
          </w:tcPr>
          <w:p>
            <w:pPr>
              <w:pStyle w:val="TableContents"/>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392,382</w:t>
            </w:r>
          </w:p>
        </w:tc>
      </w:tr>
    </w:tbl>
    <w:p>
      <w:pPr>
        <w:pStyle w:val="TextBody"/>
        <w:spacing w:before="0" w:after="240"/>
        <w:jc w:val="center"/>
        <w:rPr/>
      </w:pPr>
      <w:r>
        <w:rPr/>
      </w:r>
    </w:p>
    <w:p>
      <w:pPr>
        <w:pStyle w:val="TextBody"/>
        <w:spacing w:before="0" w:after="240"/>
        <w:jc w:val="center"/>
        <w:rPr/>
      </w:pPr>
      <w:r>
        <w:rPr/>
      </w:r>
    </w:p>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713105"/>
                <wp:effectExtent l="0" t="0" r="0" b="0"/>
                <wp:wrapNone/>
                <wp:docPr id="148" name="Frame147"/>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975" w:type="dxa"/>
                        <w:jc w:val="left"/>
                        <w:tblInd w:w="0" w:type="dxa"/>
                        <w:tblCellMar>
                          <w:top w:w="28" w:type="dxa"/>
                          <w:left w:w="28" w:type="dxa"/>
                          <w:bottom w:w="28" w:type="dxa"/>
                          <w:right w:w="28" w:type="dxa"/>
                        </w:tblCellMar>
                      </w:tblPr>
                      <w:tblGrid>
                        <w:gridCol w:w="124"/>
                        <w:gridCol w:w="109"/>
                        <w:gridCol w:w="109"/>
                        <w:gridCol w:w="420"/>
                        <w:gridCol w:w="420"/>
                        <w:gridCol w:w="42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3</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10</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NOTICE OF BORROWING]</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NOTICE OF BORROWING</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___________ __, 2023</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UMB Bank, National Association, as Facility Agent</w:t>
        <w:br/>
        <w:t>for the Lenders parties to the Loan Agreement</w:t>
        <w:br/>
        <w:t>referred to below</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lineRule="auto" w:line="240" w:before="0" w:after="240"/>
        <w:ind w:left="0" w:right="0" w:firstLine="720"/>
        <w:rPr/>
      </w:pPr>
      <w:r>
        <w:rPr>
          <w:rFonts w:ascii="Times New Roman;sans-serif" w:hAnsi="Times New Roman;sans-serif"/>
          <w:b w:val="false"/>
          <w:color w:val="000000"/>
          <w:sz w:val="24"/>
        </w:rPr>
        <w:t>The undersigned refers to the Term Loan Agreement dated or to be dated on or about March 16, 2023 (as amended, supplemented or otherwise modified, the “</w:t>
      </w:r>
      <w:r>
        <w:rPr>
          <w:rFonts w:ascii="Times New Roman;sans-serif" w:hAnsi="Times New Roman;sans-serif"/>
          <w:b/>
          <w:color w:val="000000"/>
          <w:sz w:val="24"/>
        </w:rPr>
        <w:t>Loan Agreement</w:t>
      </w:r>
      <w:r>
        <w:rPr>
          <w:color w:val="000000"/>
        </w:rPr>
        <w:t>”</w:t>
      </w:r>
      <w:r>
        <w:rPr>
          <w:rFonts w:ascii="Times New Roman;sans-serif" w:hAnsi="Times New Roman;sans-serif"/>
          <w:b w:val="false"/>
          <w:color w:val="000000"/>
          <w:sz w:val="24"/>
        </w:rPr>
        <w:t>; the terms defined therein being used herein as therein defined), among the undersigned, Sun Country Airlines Holdings, Inc., as guarantor, certain Lenders party thereto, UMB Bank, National Association, not in its individual capacity but solely as Facility Agent and UMB Bank, National Association, not in its individual capacity but solely as Security Trustee and as Account Bank, and hereby gives you notice, irrevocably, pursuant to Section 2.02 of the Loan Agreement, that the undersigned hereby wishes to make the Borrowing, and in that connection sets forth below the information relating to the Borrowing:</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    The Business Day of the Borrowing is _________ __, 2023, which shall be a U.S. Government Securities Business Day.</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(ii)    The aggregate amount of the Borrowing is $_________.</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(iii)    The Borrowing relates to the following Aircraft:</w:t>
      </w:r>
    </w:p>
    <w:p>
      <w:pPr>
        <w:pStyle w:val="TextBody"/>
        <w:spacing w:lineRule="auto" w:line="240" w:before="0" w:after="240"/>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spacing w:lineRule="auto" w:line="240" w:before="0" w:after="240"/>
        <w:ind w:left="0" w:right="0" w:hanging="720"/>
        <w:rPr/>
      </w:pPr>
      <w:r>
        <w:rPr>
          <w:rFonts w:ascii="Times New Roman;sans-serif" w:hAnsi="Times New Roman;sans-serif"/>
          <w:b w:val="false"/>
          <w:color w:val="000000"/>
          <w:sz w:val="24"/>
        </w:rPr>
        <w:t>(iv)    The proceeds of the Loans are to be remitted by the Facility Agent to [</w:t>
      </w:r>
      <w:r>
        <w:rPr>
          <w:rFonts w:ascii="Times New Roman;sans-serif" w:hAnsi="Times New Roman;sans-serif"/>
          <w:b w:val="false"/>
          <w:i/>
          <w:color w:val="000000"/>
          <w:sz w:val="24"/>
        </w:rPr>
        <w:t>specify account information</w:t>
      </w:r>
      <w:r>
        <w:rPr>
          <w:rFonts w:ascii="Times New Roman;sans-serif" w:hAnsi="Times New Roman;sans-serif"/>
          <w:b w:val="false"/>
          <w:color w:val="000000"/>
          <w:sz w:val="24"/>
        </w:rPr>
        <w:t>].</w:t>
      </w:r>
    </w:p>
    <w:p>
      <w:pPr>
        <w:pStyle w:val="TextBody"/>
        <w:spacing w:lineRule="auto" w:line="240" w:before="0" w:after="240"/>
        <w:ind w:left="0" w:right="0" w:firstLine="810"/>
        <w:rPr>
          <w:rFonts w:ascii="Times New Roman;sans-serif" w:hAnsi="Times New Roman;sans-serif"/>
          <w:b w:val="false"/>
          <w:color w:val="000000"/>
          <w:sz w:val="24"/>
        </w:rPr>
      </w:pPr>
      <w:r>
        <w:rPr>
          <w:rFonts w:ascii="Times New Roman;sans-serif" w:hAnsi="Times New Roman;sans-serif"/>
          <w:b w:val="false"/>
          <w:color w:val="000000"/>
          <w:sz w:val="24"/>
        </w:rPr>
        <w:t>[To induce each of the Lenders to make Loans under the Loan Agreement notwithstanding that the Loan Agreement has not yet become effective, we hereby agree to compensate each Lender for any loss, cost and expense attributable to the failure of such Loans to be borrowed on ___________, 2023 for any reason (other than a breach by such Lender of its obligations to make such Loans), such compensation to consist of any SOFR Breakage, determined in the manner contemplated in Section 5.04(a) of the Loan Agreement.]</w:t>
      </w:r>
    </w:p>
    <w:tbl>
      <w:tblPr>
        <w:tblW w:w="2922" w:type="dxa"/>
        <w:jc w:val="left"/>
        <w:tblInd w:w="0" w:type="dxa"/>
        <w:tblCellMar>
          <w:top w:w="28" w:type="dxa"/>
          <w:left w:w="28" w:type="dxa"/>
          <w:bottom w:w="28" w:type="dxa"/>
          <w:right w:w="28" w:type="dxa"/>
        </w:tblCellMar>
      </w:tblPr>
      <w:tblGrid>
        <w:gridCol w:w="124"/>
        <w:gridCol w:w="109"/>
        <w:gridCol w:w="109"/>
        <w:gridCol w:w="755"/>
        <w:gridCol w:w="755"/>
        <w:gridCol w:w="10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ableContents"/>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SUN COUNTRY, INC.</w:t>
            </w:r>
          </w:p>
          <w:p>
            <w:pPr>
              <w:pStyle w:val="TableContents"/>
              <w:spacing w:lineRule="auto" w:line="240" w:before="0" w:after="0"/>
              <w:jc w:val="left"/>
              <w:rPr/>
            </w:pPr>
            <w:r>
              <w:rPr>
                <w:rFonts w:ascii="Times New Roman;sans-serif" w:hAnsi="Times New Roman;sans-serif"/>
                <w:b w:val="false"/>
                <w:color w:val="000000"/>
                <w:sz w:val="24"/>
              </w:rPr>
              <w:t>By:</w:t>
            </w:r>
            <w:r>
              <w:rPr>
                <w:color w:val="000000"/>
                <w:u w:val="single"/>
              </w:rPr>
              <w:t>        </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4"/>
              </w:rPr>
              <w:t>Name:</w:t>
            </w:r>
          </w:p>
          <w:p>
            <w:pPr>
              <w:pStyle w:val="TableContents"/>
              <w:spacing w:lineRule="auto" w:line="240" w:before="0" w:after="360"/>
              <w:jc w:val="left"/>
              <w:rPr>
                <w:color w:val="000000"/>
              </w:rPr>
            </w:pPr>
            <w:r>
              <w:rPr>
                <w:color w:val="000000"/>
              </w:rPr>
              <w:t>    </w:t>
            </w:r>
            <w:r>
              <w:rPr>
                <w:rFonts w:ascii="Times New Roman;sans-serif" w:hAnsi="Times New Roman;sans-serif"/>
                <w:b w:val="false"/>
                <w:color w:val="000000"/>
                <w:sz w:val="24"/>
              </w:rPr>
              <w:t>Title: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13105"/>
                <wp:effectExtent l="0" t="0" r="0" b="0"/>
                <wp:wrapNone/>
                <wp:docPr id="149" name="Frame148"/>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MORTGAGE AND SECURITY AGREEMENT]</w:t>
      </w:r>
    </w:p>
    <w:p>
      <w:pPr>
        <w:pStyle w:val="TextBody"/>
        <w:spacing w:before="0" w:after="24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713105"/>
                <wp:effectExtent l="0" t="0" r="0" b="0"/>
                <wp:wrapNone/>
                <wp:docPr id="150" name="Frame149"/>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B</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B</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ASSIGNMENT AND ASSUMPTION]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ASSIGNMENT AND ASSUMPTION</w:t>
      </w:r>
    </w:p>
    <w:p>
      <w:pPr>
        <w:pStyle w:val="TextBody"/>
        <w:spacing w:lineRule="auto" w:line="240" w:before="0" w:after="240"/>
        <w:ind w:left="0" w:right="0" w:firstLine="720"/>
        <w:rPr/>
      </w:pPr>
      <w:r>
        <w:rPr>
          <w:rFonts w:ascii="Times New Roman;sans-serif" w:hAnsi="Times New Roman;sans-serif"/>
          <w:b w:val="false"/>
          <w:color w:val="000000"/>
          <w:sz w:val="24"/>
        </w:rPr>
        <w:t>This Assignment and Assumption (the “</w:t>
      </w:r>
      <w:r>
        <w:rPr>
          <w:rFonts w:ascii="Times New Roman;sans-serif" w:hAnsi="Times New Roman;sans-serif"/>
          <w:b/>
          <w:color w:val="000000"/>
          <w:sz w:val="24"/>
        </w:rPr>
        <w:t>Assignment and Assumption</w:t>
      </w:r>
      <w:r>
        <w:rPr>
          <w:color w:val="000000"/>
        </w:rPr>
        <w:t>”</w:t>
      </w:r>
      <w:r>
        <w:rPr>
          <w:rFonts w:ascii="Times New Roman;sans-serif" w:hAnsi="Times New Roman;sans-serif"/>
          <w:b w:val="false"/>
          <w:color w:val="000000"/>
          <w:sz w:val="24"/>
        </w:rPr>
        <w:t xml:space="preserve">) is dated as of the Effective Date set forth below and is entered into by and between </w:t>
      </w:r>
      <w:r>
        <w:rPr>
          <w:rFonts w:ascii="Times New Roman;sans-serif" w:hAnsi="Times New Roman;sans-serif"/>
          <w:b w:val="false"/>
          <w:i/>
          <w:color w:val="000000"/>
          <w:sz w:val="24"/>
        </w:rPr>
        <w:t>[Insert name of Assignor]</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Assignor</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val="false"/>
          <w:i/>
          <w:color w:val="000000"/>
          <w:sz w:val="24"/>
        </w:rPr>
        <w:t>[Insert name of Assignee]</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color w:val="000000"/>
          <w:sz w:val="24"/>
        </w:rPr>
        <w:t>Assignee</w:t>
      </w:r>
      <w:r>
        <w:rPr>
          <w:color w:val="000000"/>
        </w:rPr>
        <w:t>”</w:t>
      </w:r>
      <w:r>
        <w:rPr>
          <w:rFonts w:ascii="Times New Roman;sans-serif" w:hAnsi="Times New Roman;sans-serif"/>
          <w:b w:val="false"/>
          <w:color w:val="000000"/>
          <w:sz w:val="24"/>
        </w:rPr>
        <w:t>). Capitalized terms used but not defined herein shall have the meanings given to them in the Term Loan Agreement identified below (as amended, the “</w:t>
      </w:r>
      <w:r>
        <w:rPr>
          <w:rFonts w:ascii="Times New Roman;sans-serif" w:hAnsi="Times New Roman;sans-serif"/>
          <w:b/>
          <w:color w:val="000000"/>
          <w:sz w:val="24"/>
        </w:rPr>
        <w:t>Loan Agreement</w:t>
      </w:r>
      <w:r>
        <w:rPr>
          <w:color w:val="000000"/>
        </w:rPr>
        <w:t>”</w:t>
      </w:r>
      <w:r>
        <w:rPr>
          <w:rFonts w:ascii="Times New Roman;sans-serif" w:hAnsi="Times New Roman;sans-serif"/>
          <w:b w:val="false"/>
          <w:color w:val="000000"/>
          <w:sz w:val="24"/>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pStyle w:val="TextBody"/>
        <w:spacing w:lineRule="auto" w:line="240" w:before="0" w:after="240"/>
        <w:ind w:left="0" w:right="0" w:firstLine="720"/>
        <w:rPr/>
      </w:pPr>
      <w:r>
        <w:rPr>
          <w:rFonts w:ascii="Times New Roman;sans-serif" w:hAnsi="Times New Roman;sans-serif"/>
          <w:b w:val="false"/>
          <w:color w:val="000000"/>
          <w:sz w:val="24"/>
        </w:rPr>
        <w:t>For an agreed consideration, the Assignor hereby irrevocably sells and assigns to the Assignee, and the Assignee hereby irrevocably purchases and assumes from the Assignor, subject to and in accordance with the Standard Terms and Conditions and the Loan Agreement, as of the Effective Date inserted by the Facility Agent as contemplated below (i) all of the Assignor’s rights and obligations in its capacity as a Lender under the Loan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Loan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sans-serif" w:hAnsi="Times New Roman;sans-serif"/>
          <w:b/>
          <w:color w:val="000000"/>
          <w:sz w:val="24"/>
        </w:rPr>
        <w:t>Assigned Interest</w:t>
      </w:r>
      <w:r>
        <w:rPr>
          <w:color w:val="000000"/>
        </w:rPr>
        <w:t>”</w:t>
      </w:r>
      <w:r>
        <w:rPr>
          <w:rFonts w:ascii="Times New Roman;sans-serif" w:hAnsi="Times New Roman;sans-serif"/>
          <w:b w:val="false"/>
          <w:color w:val="000000"/>
          <w:sz w:val="24"/>
        </w:rPr>
        <w:t>). Such sale and assignment is without recourse to the Assignor and, except as expressly provided in this Assignment and Assumption, without representation or warranty by the Assignor.</w:t>
      </w:r>
    </w:p>
    <w:tbl>
      <w:tblPr>
        <w:tblW w:w="10205" w:type="dxa"/>
        <w:jc w:val="left"/>
        <w:tblInd w:w="0" w:type="dxa"/>
        <w:tblCellMar>
          <w:top w:w="28" w:type="dxa"/>
          <w:left w:w="28" w:type="dxa"/>
          <w:bottom w:w="28" w:type="dxa"/>
          <w:right w:w="28" w:type="dxa"/>
        </w:tblCellMar>
      </w:tblPr>
      <w:tblGrid>
        <w:gridCol w:w="652"/>
        <w:gridCol w:w="556"/>
        <w:gridCol w:w="556"/>
        <w:gridCol w:w="2550"/>
        <w:gridCol w:w="2429"/>
        <w:gridCol w:w="3462"/>
      </w:tblGrid>
      <w:tr>
        <w:trPr/>
        <w:tc>
          <w:tcPr>
            <w:tcW w:w="652"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2429" w:type="dxa"/>
            <w:tcBorders/>
            <w:shd w:fill="auto" w:val="clear"/>
            <w:vAlign w:val="center"/>
          </w:tcPr>
          <w:p>
            <w:pPr>
              <w:pStyle w:val="TableContents"/>
              <w:spacing w:before="0" w:after="283"/>
              <w:rPr>
                <w:sz w:val="4"/>
                <w:szCs w:val="4"/>
              </w:rPr>
            </w:pPr>
            <w:r>
              <w:rPr>
                <w:sz w:val="4"/>
                <w:szCs w:val="4"/>
              </w:rPr>
            </w:r>
          </w:p>
        </w:tc>
        <w:tc>
          <w:tcPr>
            <w:tcW w:w="3462" w:type="dxa"/>
            <w:tcBorders/>
            <w:shd w:fill="auto" w:val="clear"/>
            <w:vAlign w:val="center"/>
          </w:tcPr>
          <w:p>
            <w:pPr>
              <w:pStyle w:val="TableContents"/>
              <w:spacing w:before="0" w:after="283"/>
              <w:rPr>
                <w:sz w:val="4"/>
                <w:szCs w:val="4"/>
              </w:rPr>
            </w:pPr>
            <w:r>
              <w:rPr>
                <w:sz w:val="4"/>
                <w:szCs w:val="4"/>
              </w:rPr>
            </w:r>
          </w:p>
        </w:tc>
      </w:tr>
      <w:tr>
        <w:trPr/>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    Assignor:</w:t>
            </w:r>
          </w:p>
        </w:tc>
        <w:tc>
          <w:tcPr>
            <w:tcW w:w="8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    Assignee:</w:t>
            </w:r>
          </w:p>
        </w:tc>
        <w:tc>
          <w:tcPr>
            <w:tcW w:w="8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40"/>
              <w:jc w:val="left"/>
              <w:rPr/>
            </w:pPr>
            <w:r>
              <w:rPr>
                <w:rFonts w:ascii="Times New Roman;sans-serif" w:hAnsi="Times New Roman;sans-serif"/>
                <w:b w:val="false"/>
                <w:color w:val="000000"/>
                <w:sz w:val="24"/>
                <w:u w:val="single"/>
              </w:rPr>
              <w:t>[and is an Affiliate of [</w:t>
            </w:r>
            <w:r>
              <w:rPr>
                <w:rFonts w:ascii="Times New Roman;sans-serif" w:hAnsi="Times New Roman;sans-serif"/>
                <w:b w:val="false"/>
                <w:i/>
                <w:color w:val="000000"/>
                <w:sz w:val="24"/>
                <w:u w:val="single"/>
              </w:rPr>
              <w:t>identify Lender</w:t>
            </w:r>
            <w:r>
              <w:rPr>
                <w:rFonts w:ascii="Times New Roman;sans-serif" w:hAnsi="Times New Roman;sans-serif"/>
                <w:b w:val="false"/>
                <w:color w:val="000000"/>
                <w:sz w:val="24"/>
                <w:u w:val="single"/>
              </w:rPr>
              <w:t>]</w:t>
            </w:r>
            <w:r>
              <w:rPr>
                <w:rFonts w:ascii="Times New Roman;sans-serif" w:hAnsi="Times New Roman;sans-serif"/>
                <w:b w:val="false"/>
                <w:color w:val="000000"/>
                <w:sz w:val="16"/>
              </w:rPr>
              <w:t>1</w:t>
            </w:r>
            <w:r>
              <w:rPr>
                <w:rFonts w:ascii="Times New Roman;sans-serif" w:hAnsi="Times New Roman;sans-serif"/>
                <w:b w:val="false"/>
                <w:color w:val="000000"/>
                <w:sz w:val="24"/>
                <w:u w:val="single"/>
              </w:rPr>
              <w:t>]</w:t>
            </w:r>
          </w:p>
        </w:tc>
      </w:tr>
      <w:tr>
        <w:trPr/>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    Company:</w:t>
            </w:r>
          </w:p>
        </w:tc>
        <w:tc>
          <w:tcPr>
            <w:tcW w:w="8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Sun Country, Inc.</w:t>
            </w:r>
          </w:p>
        </w:tc>
      </w:tr>
      <w:tr>
        <w:trPr/>
        <w:tc>
          <w:tcPr>
            <w:tcW w:w="1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    Facility Agent:</w:t>
            </w:r>
          </w:p>
        </w:tc>
        <w:tc>
          <w:tcPr>
            <w:tcW w:w="8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UMB Bank, National Association, not in its individual capacity but solely as the facility agent under the Loan Agreement</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_____________________________</w:t>
      </w:r>
    </w:p>
    <w:p>
      <w:pPr>
        <w:pStyle w:val="TextBody"/>
        <w:spacing w:lineRule="auto" w:line="240"/>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Select as applicable.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13105"/>
                <wp:effectExtent l="0" t="0" r="0" b="0"/>
                <wp:wrapNone/>
                <wp:docPr id="151" name="Frame150"/>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08"/>
        <w:gridCol w:w="440"/>
        <w:gridCol w:w="441"/>
        <w:gridCol w:w="2553"/>
        <w:gridCol w:w="2553"/>
        <w:gridCol w:w="3610"/>
      </w:tblGrid>
      <w:tr>
        <w:trPr/>
        <w:tc>
          <w:tcPr>
            <w:tcW w:w="60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3610" w:type="dxa"/>
            <w:tcBorders/>
            <w:shd w:fill="auto" w:val="clear"/>
            <w:vAlign w:val="center"/>
          </w:tcPr>
          <w:p>
            <w:pPr>
              <w:pStyle w:val="TableContents"/>
              <w:spacing w:before="0" w:after="283"/>
              <w:rPr>
                <w:sz w:val="4"/>
                <w:szCs w:val="4"/>
              </w:rPr>
            </w:pPr>
            <w:r>
              <w:rPr>
                <w:sz w:val="4"/>
                <w:szCs w:val="4"/>
              </w:rPr>
            </w:r>
          </w:p>
        </w:tc>
      </w:tr>
      <w:tr>
        <w:trPr/>
        <w:tc>
          <w:tcPr>
            <w:tcW w:w="1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    Loan Agreement:</w:t>
            </w:r>
          </w:p>
        </w:tc>
        <w:tc>
          <w:tcPr>
            <w:tcW w:w="8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$119,200,000 Term Loan Agreement dated as of March 16, 2023 among Sun Country, Inc., Sun Country Airlines Holdings, Inc., as guarantor, the Lenders party thereto, UMB Bank, National Association, not in its individual capacity but solely as Facility Agent and UMB Bank, National Association, not in its individual capacity but solely as Security Trustee and as Account Bank</w:t>
            </w:r>
          </w:p>
        </w:tc>
      </w:tr>
      <w:tr>
        <w:trPr/>
        <w:tc>
          <w:tcPr>
            <w:tcW w:w="1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    Loan Agreement:</w:t>
            </w:r>
          </w:p>
        </w:tc>
        <w:tc>
          <w:tcPr>
            <w:tcW w:w="87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Assignee represents and warrants that it [would/would not] have been entitled to make the certification contemplated in Section 5.02(b) of the Loan Agreement had it been a Lender prior to the first day of the relevant Interest Period.</w:t>
            </w:r>
          </w:p>
        </w:tc>
      </w:tr>
      <w:tr>
        <w:trPr/>
        <w:tc>
          <w:tcPr>
            <w:tcW w:w="1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    Assigned Loan:</w:t>
            </w:r>
          </w:p>
        </w:tc>
        <w:tc>
          <w:tcPr>
            <w:tcW w:w="87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556"/>
        <w:gridCol w:w="1370"/>
        <w:gridCol w:w="1374"/>
        <w:gridCol w:w="953"/>
        <w:gridCol w:w="953"/>
        <w:gridCol w:w="956"/>
        <w:gridCol w:w="889"/>
        <w:gridCol w:w="889"/>
        <w:gridCol w:w="1265"/>
      </w:tblGrid>
      <w:tr>
        <w:trPr/>
        <w:tc>
          <w:tcPr>
            <w:tcW w:w="1556"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Aggregate Amount of Loans for all Lenders*</w:t>
            </w:r>
          </w:p>
        </w:tc>
        <w:tc>
          <w:tcPr>
            <w:tcW w:w="2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Amount of / Loans Assigned</w:t>
            </w:r>
            <w:r>
              <w:rPr>
                <w:rFonts w:ascii="Times New Roman;sans-serif" w:hAnsi="Times New Roman;sans-serif"/>
                <w:b w:val="false"/>
                <w:color w:val="000000"/>
                <w:sz w:val="16"/>
              </w:rPr>
              <w:t>1</w:t>
            </w:r>
          </w:p>
        </w:tc>
        <w:tc>
          <w:tcPr>
            <w:tcW w:w="3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Percentage Assigned of Loans</w:t>
            </w:r>
            <w:r>
              <w:rPr>
                <w:rFonts w:ascii="Times New Roman;sans-serif" w:hAnsi="Times New Roman;sans-serif"/>
                <w:b w:val="false"/>
                <w:color w:val="000000"/>
                <w:sz w:val="16"/>
              </w:rPr>
              <w:t>2</w:t>
            </w:r>
          </w:p>
        </w:tc>
      </w:tr>
      <w:tr>
        <w:trPr/>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r>
        <w:trPr/>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8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0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r>
    </w:tbl>
    <w:p>
      <w:pPr>
        <w:pStyle w:val="TextBody"/>
        <w:spacing w:before="0" w:after="0"/>
        <w:rPr/>
      </w:pPr>
      <w:r>
        <w:rPr/>
      </w:r>
    </w:p>
    <w:tbl>
      <w:tblPr>
        <w:tblW w:w="2278" w:type="dxa"/>
        <w:jc w:val="left"/>
        <w:tblInd w:w="0" w:type="dxa"/>
        <w:tblCellMar>
          <w:top w:w="28" w:type="dxa"/>
          <w:left w:w="28" w:type="dxa"/>
          <w:bottom w:w="28" w:type="dxa"/>
          <w:right w:w="28" w:type="dxa"/>
        </w:tblCellMar>
      </w:tblPr>
      <w:tblGrid>
        <w:gridCol w:w="629"/>
        <w:gridCol w:w="554"/>
        <w:gridCol w:w="556"/>
        <w:gridCol w:w="157"/>
        <w:gridCol w:w="157"/>
        <w:gridCol w:w="225"/>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    Trade Date:</w:t>
            </w:r>
          </w:p>
        </w:tc>
        <w:tc>
          <w:tcPr>
            <w:tcW w:w="53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u w:val="single"/>
              </w:rPr>
              <w:t>    </w:t>
            </w:r>
            <w:r>
              <w:rPr>
                <w:rFonts w:ascii="Times New Roman;sans-serif" w:hAnsi="Times New Roman;sans-serif"/>
                <w:b w:val="false"/>
                <w:color w:val="000000"/>
                <w:sz w:val="24"/>
                <w:u w:val="single"/>
              </w:rPr>
              <w:t>]</w:t>
            </w:r>
            <w:r>
              <w:rPr>
                <w:rFonts w:ascii="Times New Roman;sans-serif" w:hAnsi="Times New Roman;sans-serif"/>
                <w:b w:val="false"/>
                <w:color w:val="000000"/>
                <w:sz w:val="16"/>
                <w:u w:val="single"/>
              </w:rPr>
              <w:t>3</w:t>
            </w:r>
          </w:p>
        </w:tc>
      </w:tr>
    </w:tbl>
    <w:p>
      <w:pPr>
        <w:pStyle w:val="TextBody"/>
        <w:spacing w:before="0" w:after="0"/>
        <w:rPr/>
      </w:pPr>
      <w:r>
        <w:rPr/>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Effective Date: _____________ ___, _____ [TO BE INSERTED BY THE FACILITY AGENT AND WHICH SHALL BE THE EFFECTIVE DATE OF RECORDATION OF TRANSFER IN THE REGISTER THEREFOR.]</w:t>
      </w:r>
    </w:p>
    <w:p>
      <w:pPr>
        <w:pStyle w:val="TextBody"/>
        <w:spacing w:lineRule="auto" w:line="240" w:before="0" w:after="0"/>
        <w:ind w:left="0" w:right="0" w:hanging="360"/>
        <w:jc w:val="both"/>
        <w:rPr/>
      </w:pP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Amount to be adjusted by the counterparties to take into account any payments or prepayments made between the Trade Date and the Effective Date.</w:t>
      </w:r>
    </w:p>
    <w:p>
      <w:pPr>
        <w:pStyle w:val="TextBody"/>
        <w:spacing w:lineRule="auto" w:line="240" w:before="0" w:after="0"/>
        <w:ind w:left="0" w:right="0" w:hanging="36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20"/>
        </w:rPr>
        <w:t>Set forth, to at least 9 decimals, as a percentage of the Loans of all Lenders thereunder.</w:t>
      </w:r>
    </w:p>
    <w:p>
      <w:pPr>
        <w:pStyle w:val="TextBody"/>
        <w:spacing w:lineRule="auto" w:line="240"/>
        <w:ind w:left="0" w:right="0" w:hanging="36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20"/>
        </w:rPr>
        <w:t>To be completed if the Assignor and the Assignee intend that the minimum assignment amount is to be determined as of the Trade Date.</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13105"/>
                <wp:effectExtent l="0" t="0" r="0" b="0"/>
                <wp:wrapNone/>
                <wp:docPr id="152" name="Frame151"/>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The terms set forth in this Assignment and Assumption are hereby agreed to:</w:t>
      </w:r>
    </w:p>
    <w:tbl>
      <w:tblPr>
        <w:tblW w:w="8175" w:type="dxa"/>
        <w:jc w:val="left"/>
        <w:tblInd w:w="0" w:type="dxa"/>
        <w:tblCellMar>
          <w:top w:w="28" w:type="dxa"/>
          <w:left w:w="28" w:type="dxa"/>
          <w:bottom w:w="28" w:type="dxa"/>
          <w:right w:w="28" w:type="dxa"/>
        </w:tblCellMar>
      </w:tblPr>
      <w:tblGrid>
        <w:gridCol w:w="1963"/>
        <w:gridCol w:w="1723"/>
        <w:gridCol w:w="1729"/>
        <w:gridCol w:w="808"/>
        <w:gridCol w:w="808"/>
        <w:gridCol w:w="1144"/>
      </w:tblGrid>
      <w:tr>
        <w:trPr/>
        <w:tc>
          <w:tcPr>
            <w:tcW w:w="1963" w:type="dxa"/>
            <w:tcBorders/>
            <w:shd w:fill="auto" w:val="clear"/>
            <w:vAlign w:val="center"/>
          </w:tcPr>
          <w:p>
            <w:pPr>
              <w:pStyle w:val="TableContents"/>
              <w:spacing w:before="0" w:after="283"/>
              <w:rPr>
                <w:sz w:val="4"/>
                <w:szCs w:val="4"/>
              </w:rPr>
            </w:pPr>
            <w:r>
              <w:rPr>
                <w:sz w:val="4"/>
                <w:szCs w:val="4"/>
              </w:rPr>
            </w:r>
          </w:p>
        </w:tc>
        <w:tc>
          <w:tcPr>
            <w:tcW w:w="1723"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ASSIGNOR</w:t>
            </w:r>
          </w:p>
          <w:p>
            <w:pPr>
              <w:pStyle w:val="TableContents"/>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[NAME OF ASSIGNOR]</w:t>
            </w:r>
          </w:p>
          <w:p>
            <w:pPr>
              <w:pStyle w:val="TableContents"/>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ableContents"/>
              <w:spacing w:lineRule="auto" w:line="240" w:before="0" w:after="360"/>
              <w:jc w:val="left"/>
              <w:rPr>
                <w:rFonts w:ascii="Times New Roman;sans-serif" w:hAnsi="Times New Roman;sans-serif"/>
                <w:b w:val="false"/>
                <w:color w:val="000000"/>
                <w:sz w:val="24"/>
              </w:rPr>
            </w:pPr>
            <w:r>
              <w:rPr>
                <w:rFonts w:ascii="Times New Roman;sans-serif" w:hAnsi="Times New Roman;sans-serif"/>
                <w:b w:val="false"/>
                <w:color w:val="000000"/>
                <w:sz w:val="24"/>
              </w:rPr>
              <w:t>Name:</w:t>
              <w:br/>
              <w:t>Title:</w:t>
            </w:r>
          </w:p>
        </w:tc>
      </w:tr>
      <w:tr>
        <w:trPr/>
        <w:tc>
          <w:tcPr>
            <w:tcW w:w="5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ASSIGNEE</w:t>
            </w:r>
          </w:p>
          <w:p>
            <w:pPr>
              <w:pStyle w:val="TableContents"/>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[NAME OF ASSIGNEE]</w:t>
            </w:r>
          </w:p>
          <w:p>
            <w:pPr>
              <w:pStyle w:val="TableContents"/>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ableContents"/>
              <w:spacing w:lineRule="auto" w:line="240" w:before="0" w:after="360"/>
              <w:jc w:val="left"/>
              <w:rPr>
                <w:rFonts w:ascii="Times New Roman;sans-serif" w:hAnsi="Times New Roman;sans-serif"/>
                <w:b w:val="false"/>
                <w:color w:val="000000"/>
                <w:sz w:val="24"/>
              </w:rPr>
            </w:pPr>
            <w:r>
              <w:rPr>
                <w:rFonts w:ascii="Times New Roman;sans-serif" w:hAnsi="Times New Roman;sans-serif"/>
                <w:b w:val="false"/>
                <w:color w:val="000000"/>
                <w:sz w:val="24"/>
              </w:rPr>
              <w:t>Name:</w:t>
              <w:br/>
              <w:t>Title:</w:t>
            </w:r>
          </w:p>
        </w:tc>
      </w:tr>
      <w:tr>
        <w:trPr/>
        <w:tc>
          <w:tcPr>
            <w:tcW w:w="5415"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rFonts w:ascii="Times New Roman;sans-serif" w:hAnsi="Times New Roman;sans-serif"/>
                <w:b w:val="false"/>
                <w:color w:val="000000"/>
                <w:sz w:val="24"/>
              </w:rPr>
            </w:pPr>
            <w:r>
              <w:rPr>
                <w:rFonts w:ascii="Times New Roman;sans-serif" w:hAnsi="Times New Roman;sans-serif"/>
                <w:b w:val="false"/>
                <w:color w:val="000000"/>
                <w:sz w:val="24"/>
              </w:rPr>
              <w:t>Accepted:</w:t>
            </w:r>
          </w:p>
          <w:p>
            <w:pPr>
              <w:pStyle w:val="TableContents"/>
              <w:spacing w:lineRule="auto" w:line="240" w:before="0" w:after="360"/>
              <w:jc w:val="left"/>
              <w:rPr/>
            </w:pPr>
            <w:r>
              <w:rPr>
                <w:rFonts w:ascii="Times New Roman;sans-serif" w:hAnsi="Times New Roman;sans-serif"/>
                <w:b/>
                <w:color w:val="000000"/>
                <w:sz w:val="24"/>
              </w:rPr>
              <w:t>UMB BANK, NATIONAL ASSOCIATION</w:t>
            </w:r>
            <w:r>
              <w:rPr>
                <w:rFonts w:ascii="Times New Roman;sans-serif" w:hAnsi="Times New Roman;sans-serif"/>
                <w:b w:val="false"/>
                <w:color w:val="000000"/>
                <w:sz w:val="24"/>
              </w:rPr>
              <w:t>,</w:t>
              <w:br/>
              <w:t>not in its individual capacity but solely as Facility Agent</w:t>
            </w:r>
          </w:p>
          <w:p>
            <w:pPr>
              <w:pStyle w:val="TableContents"/>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ableContents"/>
              <w:spacing w:lineRule="auto" w:line="240" w:before="0" w:after="0"/>
              <w:ind w:left="0" w:right="0" w:hanging="45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5" w:type="dxa"/>
            <w:gridSpan w:val="3"/>
            <w:tcBorders/>
            <w:shd w:fill="auto" w:val="clear"/>
            <w:tcMar>
              <w:top w:w="0" w:type="dxa"/>
              <w:left w:w="0" w:type="dxa"/>
              <w:bottom w:w="0" w:type="dxa"/>
              <w:right w:w="0" w:type="dxa"/>
            </w:tcMar>
            <w:vAlign w:val="center"/>
          </w:tcPr>
          <w:p>
            <w:pPr>
              <w:pStyle w:val="TableContents"/>
              <w:spacing w:lineRule="auto" w:line="240" w:before="0" w:after="360"/>
              <w:jc w:val="left"/>
              <w:rPr>
                <w:rFonts w:ascii="Times New Roman;sans-serif" w:hAnsi="Times New Roman;sans-serif"/>
                <w:b w:val="false"/>
                <w:color w:val="000000"/>
                <w:sz w:val="24"/>
              </w:rPr>
            </w:pPr>
            <w:r>
              <w:rPr>
                <w:rFonts w:ascii="Times New Roman;sans-serif" w:hAnsi="Times New Roman;sans-serif"/>
                <w:b w:val="false"/>
                <w:color w:val="000000"/>
                <w:sz w:val="24"/>
              </w:rPr>
              <w:t>[Consented to:</w:t>
            </w:r>
          </w:p>
          <w:p>
            <w:pPr>
              <w:pStyle w:val="TableContents"/>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SUN COUNTRY, INC.</w:t>
            </w:r>
          </w:p>
          <w:p>
            <w:pPr>
              <w:pStyle w:val="TableContents"/>
              <w:spacing w:lineRule="auto" w:line="240" w:before="0" w:after="0"/>
              <w:jc w:val="left"/>
              <w:rPr/>
            </w:pPr>
            <w:r>
              <w:rPr>
                <w:rFonts w:ascii="Times New Roman;sans-serif" w:hAnsi="Times New Roman;sans-serif"/>
                <w:b w:val="false"/>
                <w:color w:val="000000"/>
                <w:sz w:val="24"/>
              </w:rPr>
              <w:t>By:    </w:t>
            </w:r>
            <w:r>
              <w:rPr>
                <w:color w:val="000000"/>
                <w:u w:val="single"/>
              </w:rPr>
              <w:t>    </w:t>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ableContents"/>
              <w:spacing w:lineRule="auto" w:line="240" w:before="0" w:after="0"/>
              <w:ind w:left="0" w:right="0" w:hanging="450"/>
              <w:jc w:val="left"/>
              <w:rPr/>
            </w:pPr>
            <w:r>
              <w:rPr>
                <w:rFonts w:ascii="Times New Roman;sans-serif" w:hAnsi="Times New Roman;sans-serif"/>
                <w:b w:val="false"/>
                <w:color w:val="000000"/>
                <w:sz w:val="24"/>
              </w:rPr>
              <w:t>Title:]</w:t>
            </w:r>
            <w:r>
              <w:rPr>
                <w:rFonts w:ascii="Times New Roman;sans-serif" w:hAnsi="Times New Roman;sans-serif"/>
                <w:b w:val="false"/>
                <w:color w:val="000000"/>
                <w:sz w:val="16"/>
              </w:rPr>
              <w:t>4</w:t>
            </w:r>
          </w:p>
        </w:tc>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40"/>
        <w:ind w:left="0" w:right="0" w:hanging="36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If the consent of the Company is required pursuant to Section 13.04.</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13105"/>
                <wp:effectExtent l="0" t="0" r="0" b="0"/>
                <wp:wrapNone/>
                <wp:docPr id="153" name="Frame152"/>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481.35pt;mso-position-horizontal:left;mso-position-horizontal-relative:text">
                <v:textbo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ANNEX 1</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STANDARD TERMS AND CONDITIONS FOR</w:t>
        <w:br/>
        <w:t>ASSIGNMENT AND ASSUMPTION</w:t>
      </w:r>
    </w:p>
    <w:p>
      <w:pPr>
        <w:pStyle w:val="TextBody"/>
        <w:spacing w:lineRule="auto" w:line="240" w:before="0" w:after="240"/>
        <w:ind w:left="0" w:right="0" w:firstLine="720"/>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w:t>
      </w:r>
    </w:p>
    <w:p>
      <w:pPr>
        <w:pStyle w:val="TextBody"/>
        <w:spacing w:lineRule="auto" w:line="240" w:before="0" w:after="240"/>
        <w:ind w:left="0" w:right="0" w:firstLine="1440"/>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Assignor</w:t>
      </w:r>
      <w:r>
        <w:rPr>
          <w:rFonts w:ascii="Times New Roman;sans-serif" w:hAnsi="Times New Roman;sans-serif"/>
          <w:b w:val="false"/>
          <w:color w:val="000000"/>
          <w:sz w:val="24"/>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the Company in respect of any Loan Document or (iv) the performance or observance by the Company of its obligations under any Loan Document.</w:t>
      </w:r>
    </w:p>
    <w:p>
      <w:pPr>
        <w:pStyle w:val="TextBody"/>
        <w:spacing w:lineRule="auto" w:line="240" w:before="0" w:after="240"/>
        <w:ind w:left="0" w:right="0" w:firstLine="1440"/>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Assignee</w:t>
      </w:r>
      <w:r>
        <w:rPr>
          <w:rFonts w:ascii="Times New Roman;sans-serif" w:hAnsi="Times New Roman;sans-serif"/>
          <w:b w:val="false"/>
          <w:color w:val="000000"/>
          <w:sz w:val="24"/>
        </w:rPr>
        <w:t>. The Assignee (a) represents and warrants that (i) it has full power and authority, and has taken all action necessary, to execute and deliver this Assignment and Assumption and to consummate the transactions contemplated hereby and to become a Lender under the Loan Agreement, (ii) it meets all requirements of an Eligible Assignee under the Loan Agreement (subject to receipt of such consents as may be required under the Loan Agreement), (iii) from and after the Effective Date, it shall be bound by the provisions of the Loan Agreement as a Lender thereunder and, to the extent of the Assigned Interest, shall have the obligations of a Lender thereunder, and (iv) it has received a copy of the Loan Agreement, together with copies of the most recent financial statements delivered pursuant to Section 8.04(a) or 8.04(b)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Agents or any other Lender; and (b) agrees that (i) it will, independently and without reliance on the Agents,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(including, without limitation, the forms required by Section 5.05(e) of the Loan Agreement).</w:t>
      </w:r>
    </w:p>
    <w:p>
      <w:pPr>
        <w:pStyle w:val="TextBody"/>
        <w:spacing w:lineRule="auto" w:line="240" w:before="0" w:after="240"/>
        <w:ind w:left="0" w:right="0" w:firstLine="720"/>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Payments</w:t>
      </w:r>
      <w:r>
        <w:rPr>
          <w:rFonts w:ascii="Times New Roman;sans-serif" w:hAnsi="Times New Roman;sans-serif"/>
          <w:b w:val="false"/>
          <w:color w:val="000000"/>
          <w:sz w:val="24"/>
        </w:rPr>
        <w:t>. From and after the Effective Date, the Facility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pStyle w:val="TextBody"/>
        <w:spacing w:lineRule="auto" w:line="240" w:before="0" w:after="240"/>
        <w:ind w:left="0" w:right="0" w:firstLine="720"/>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General Provisions</w:t>
      </w:r>
      <w:r>
        <w:rPr>
          <w:rFonts w:ascii="Times New Roman;sans-serif" w:hAnsi="Times New Roman;sans-serif"/>
          <w:b w:val="false"/>
          <w:color w:val="000000"/>
          <w:sz w:val="24"/>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or email shall be effective as delivery of a manually executed counterpart of this Assignment and Assumption. This Assignment and Assumption shall be governed by, and construed in accordance with, the law of the State of New York.</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13105"/>
                <wp:effectExtent l="0" t="0" r="0" b="0"/>
                <wp:wrapNone/>
                <wp:docPr id="154" name="Frame153"/>
                <a:graphic xmlns:a="http://schemas.openxmlformats.org/drawingml/2006/main">
                  <a:graphicData uri="http://schemas.microsoft.com/office/word/2010/wordprocessingShape">
                    <wps:wsp>
                      <wps:cNvSpPr txBox="1"/>
                      <wps:spPr>
                        <a:xfrm>
                          <a:off x="0" y="0"/>
                          <a:ext cx="6480175" cy="713105"/>
                        </a:xfrm>
                        <a:prstGeom prst="rect"/>
                      </wps:spPr>
                      <wps:txb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15pt;mso-wrap-distance-left:0pt;mso-wrap-distance-right:0pt;mso-wrap-distance-top:0pt;mso-wrap-distance-bottom:0pt;margin-top:0pt;mso-position-vertical:top;mso-position-vertical-relative:text;margin-left:0pt;mso-position-horizontal:left;mso-position-horizontal-relative:text">
                <v:textbox>
                  <w:txbxContent>
                    <w:tbl>
                      <w:tblPr>
                        <w:tblW w:w="1765" w:type="dxa"/>
                        <w:jc w:val="left"/>
                        <w:tblInd w:w="0" w:type="dxa"/>
                        <w:tblCellMar>
                          <w:top w:w="28" w:type="dxa"/>
                          <w:left w:w="28" w:type="dxa"/>
                          <w:bottom w:w="28" w:type="dxa"/>
                          <w:right w:w="28" w:type="dxa"/>
                        </w:tblCellMar>
                      </w:tblPr>
                      <w:tblGrid>
                        <w:gridCol w:w="124"/>
                        <w:gridCol w:w="109"/>
                        <w:gridCol w:w="109"/>
                        <w:gridCol w:w="350"/>
                        <w:gridCol w:w="350"/>
                        <w:gridCol w:w="35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C</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Page 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Jude Bricker,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Sun Country Airlines Holdings, Inc. ("Sun Country") for the three month period ended March 31, 2023;</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4.Sun Country's other certifying officer and I are responsible for establishing and maintaining disclosure controls and procedures (as defined in Exchange Act Rules 13a-15(e) and 15d-15(e)) for Sun Country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Sun Country's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Sun Country's internal control over financial reporting.</w:t>
      </w:r>
    </w:p>
    <w:tbl>
      <w:tblPr>
        <w:tblW w:w="3374" w:type="dxa"/>
        <w:jc w:val="left"/>
        <w:tblInd w:w="0" w:type="dxa"/>
        <w:tblCellMar>
          <w:top w:w="28" w:type="dxa"/>
          <w:left w:w="28" w:type="dxa"/>
          <w:bottom w:w="28" w:type="dxa"/>
          <w:right w:w="28" w:type="dxa"/>
        </w:tblCellMar>
      </w:tblPr>
      <w:tblGrid>
        <w:gridCol w:w="473"/>
        <w:gridCol w:w="415"/>
        <w:gridCol w:w="417"/>
        <w:gridCol w:w="606"/>
        <w:gridCol w:w="606"/>
        <w:gridCol w:w="857"/>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Jude Bricker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OR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Dave Davis,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Sun Country Airlines Holdings, Inc. ("Sun Country") for the three month period ended March 31, 2023;</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4.Sun Country's other certifying officer and I are responsible for establishing and maintaining disclosure controls and procedures (as defined in Exchange Act Rules 13a-15(e) and 15d-15(e)) for Sun Country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Sun Country's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Sun Country's internal control over financial reporting.</w:t>
      </w:r>
    </w:p>
    <w:tbl>
      <w:tblPr>
        <w:tblW w:w="4455" w:type="dxa"/>
        <w:jc w:val="left"/>
        <w:tblInd w:w="0" w:type="dxa"/>
        <w:tblCellMar>
          <w:top w:w="28" w:type="dxa"/>
          <w:left w:w="28" w:type="dxa"/>
          <w:bottom w:w="28" w:type="dxa"/>
          <w:right w:w="28" w:type="dxa"/>
        </w:tblCellMar>
      </w:tblPr>
      <w:tblGrid>
        <w:gridCol w:w="473"/>
        <w:gridCol w:w="415"/>
        <w:gridCol w:w="417"/>
        <w:gridCol w:w="921"/>
        <w:gridCol w:w="921"/>
        <w:gridCol w:w="1308"/>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Davis</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Davis</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April 28, 2023</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March 31, 2023 (the "Report").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Each of the undersigned, the Chief Executive Officer and the President and Chief Financial Officer, respectively, of Sun Country, hereby certifies that, as of the end of the period covered by the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1.such Report fully complies with the requirements of Section 13(a) of the Securities Exchange Act of 1934;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Sun Country.</w:t>
      </w:r>
    </w:p>
    <w:tbl>
      <w:tblPr>
        <w:tblW w:w="3491" w:type="dxa"/>
        <w:jc w:val="left"/>
        <w:tblInd w:w="0" w:type="dxa"/>
        <w:tblCellMar>
          <w:top w:w="28" w:type="dxa"/>
          <w:left w:w="28" w:type="dxa"/>
          <w:bottom w:w="28" w:type="dxa"/>
          <w:right w:w="28" w:type="dxa"/>
        </w:tblCellMar>
      </w:tblPr>
      <w:tblGrid>
        <w:gridCol w:w="124"/>
        <w:gridCol w:w="109"/>
        <w:gridCol w:w="109"/>
        <w:gridCol w:w="922"/>
        <w:gridCol w:w="922"/>
        <w:gridCol w:w="130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Jude Bricker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Jude Bricker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Dave Davis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Dave Davis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112</Pages>
  <Words>72975</Words>
  <CharactersWithSpaces>458119</CharactersWithSpaces>
  <Paragraphs>4976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