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944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944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Bricker Jude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 w:right="80"/>
        <w:spacing w:after="0" w:line="3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SUN COUNTRY AIRLINES HOLDINGS, INC. 2005 CARGO ROAD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MINNEAPOLIS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200" w:lineRule="exact"/>
              <w:rPr>
                <w:rFonts w:ascii="Arial" w:cs="Arial" w:eastAsia="Arial" w:hAnsi="Arial"/>
                <w:sz w:val="20"/>
                <w:szCs w:val="20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98"/>
                </w:rPr>
                <w:t xml:space="preserve">Sun Country Airlines Holdings,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SNCY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w w:val="98"/>
              </w:rPr>
              <w:t>]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7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Stock, par value $0.01 per share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11/16/2021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162,768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Stock, par value $0.01 per share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11/16/2021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162,768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31.2813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77,232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20" w:type="dxa"/>
            <w:vAlign w:val="bottom"/>
            <w:gridSpan w:val="9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162,768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11/16/2021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162,768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11/21/2028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457,870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 in four annual installments, subject to continued service, beginning April 11, 2019.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/s/ Eric Levenhagen, as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11/18/2021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attorney-in-fact for Jude Bricker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8610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2021-11-18T17:47:55Z</dcterms:created>
  <dcterms:modified xsi:type="dcterms:W3CDTF">2021-11-18T17:47:55Z</dcterms:modified>
</cp:coreProperties>
</file>