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64971_425.htm"/>
      <w:bookmarkStart w:id="1" w:name="ksef20064971_425"/>
      <w:bookmarkStart w:id="2" w:name="ef20064971_425.htm"/>
      <w:bookmarkStart w:id="3" w:name="ksef20064971_425"/>
      <w:bookmarkEnd w:id="2"/>
      <w:bookmarkEnd w:id="3"/>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FILED BY ALLEGIANT TRAVEL COMPANY</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PURSUANT TO RULE 425 UNDER THE SECURITIES ACT OF 1933</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AND DEEMED FILED PURSUANT TO RULE 14a-12</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UNDER THE SECURITIES EXCHANGE ACT OF 1934</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SUN COUNTRY AIRLINES HOLDINGS, INC.</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001-40217</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are excerpts from the transcript of Allegiant Travel Company’s (“Allegiant”) earnings call held on February 4, 2026. These excerpts contain portions of the transcript that discuss the proposed acquisition of Sun Country Airlines Holdings, Inc. by Allegiant: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Gregory Clark Anderson</w:t>
      </w:r>
      <w:r>
        <w:rPr>
          <w:rFonts w:ascii="Times New Roman" w:hAnsi="Times New Roman"/>
          <w:color w:val="000000"/>
          <w:sz w:val="20"/>
        </w:rPr>
        <w:br/>
      </w:r>
      <w:r>
        <w:rPr>
          <w:rFonts w:ascii="Times New Roman" w:hAnsi="Times New Roman"/>
          <w:i/>
          <w:color w:val="000000"/>
          <w:sz w:val="20"/>
        </w:rPr>
        <w:t>CEO &amp; Director</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Strategically, our agreement to acquire Sun Country is an important step forward as the combination is expected to accelerate our ability to build the leading leisure airline in the U.S. Given the execution over the past year and the strengthening of our foundation, the organization is well positioned to take on this significant undertaking.</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two airlines share strong cultural alignment, similar fleet types, minimal network overlap and complementary technology platforms, including Navitaire, all of which help reduce integration risk. A thoughtful integration plan is underway, focusing on capturing synergies efficiently while protecting operational excellence and the respective strengths of both airlines.</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Michael John Linenberg</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Deutsche Bank AG, Research Division</w:t>
      </w:r>
    </w:p>
    <w:p>
      <w:pPr>
        <w:pStyle w:val="TextBody"/>
        <w:bidi w:val="0"/>
        <w:spacing w:before="0" w:after="0"/>
        <w:jc w:val="left"/>
        <w:rPr>
          <w:color w:val="000000"/>
        </w:rPr>
      </w:pPr>
      <w:r>
        <w:rPr>
          <w:color w:val="000000"/>
        </w:rPr>
        <w:t> </w:t>
      </w:r>
    </w:p>
    <w:p>
      <w:pPr>
        <w:pStyle w:val="TextBody"/>
        <w:bidi w:val="0"/>
        <w:spacing w:before="0" w:after="0"/>
        <w:ind w:left="0" w:right="288" w:hanging="0"/>
        <w:jc w:val="left"/>
        <w:rPr>
          <w:rFonts w:ascii="Times New Roman" w:hAnsi="Times New Roman"/>
          <w:color w:val="000000"/>
          <w:sz w:val="20"/>
        </w:rPr>
      </w:pPr>
      <w:r>
        <w:rPr>
          <w:rFonts w:ascii="Times New Roman" w:hAnsi="Times New Roman"/>
          <w:color w:val="000000"/>
          <w:sz w:val="20"/>
        </w:rPr>
        <w:t>Great. And then just my second question, really turning to the merger and maybe just some of the mechanics. Not that you put out a filing, but just curious at what day or what time frame you did actually file Hart-Scott-Rodino. I know it's a 30-day waiting period. The deal was announced early January. So if it was right around that time, we'd be coming up to at least the first 30-day period.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sort of tied to the merger, as we think about the cash component, the $4-plus per Sun Country share, I think that's about $200 million. Is that -- is the plan to finance that out of cash? Or would you finance that? Is it out of cash or would you actually finance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Gregory Clark Anderson</w:t>
      </w:r>
      <w:r>
        <w:rPr>
          <w:rFonts w:ascii="Times New Roman" w:hAnsi="Times New Roman"/>
          <w:color w:val="000000"/>
          <w:sz w:val="20"/>
        </w:rPr>
        <w:br/>
      </w:r>
      <w:r>
        <w:rPr>
          <w:rFonts w:ascii="Times New Roman" w:hAnsi="Times New Roman"/>
          <w:i/>
          <w:color w:val="000000"/>
          <w:sz w:val="20"/>
        </w:rPr>
        <w:t>CEO &amp; Director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 thanks for the question, Mike. I’ll kick it off. B.J. will follow up on that second part around cash.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we put out, we expect the merger to close in the second half of ‘26. And to your point, there’s conditions necessary to achieve that, shareholder vote, regulatory approval and then some other customary closing conditions.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shareholder vote and the regulatory approval or the HSR filing, we expect, Mike, to file both of those within the coming weeks. And then that will -- post those filings and review, that will trigger the time line as well.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And then -- yes. And then B.J., do you want to jump in on the?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Robert J. Neal</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President, CFO &amp; Executive VP</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Yes. Mike, on the cash consideration for the merger closing, it’s certainly going to depend on when in the year the closing would take place. I would just note, we have a bond out there that matures in the third quarter of 2027. And so we’ve had an eye on the market to refinance that at some point. And so ideally, we would refinance that and take a little bit more out and have some extra cash to pay the cash consideration of the merger closing. But if the timing doesn’t work out, there’s more than $1 billion in unencumbered aircraft and engines. Candidly, cash balances for the first quarter are ahead of schedule. We could start by just using cash balances if we need to.</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Savanthi Nipunika Prelis-Syth</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Raymond James &amp; Associates, Inc., Research Division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Just maybe expanding a little bit on Mike's earlier question. I was kind of curious how you're thinking about balance sheet this year and targets. You do have a big CapEx plan this year and this merger. So curious how you're kind of thinking about where you'd like to kind of keep the balance sheet.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Gregory Clark Anderson</w:t>
      </w:r>
      <w:r>
        <w:rPr>
          <w:rFonts w:ascii="Times New Roman" w:hAnsi="Times New Roman"/>
          <w:color w:val="000000"/>
          <w:sz w:val="20"/>
        </w:rPr>
        <w:br/>
      </w:r>
      <w:r>
        <w:rPr>
          <w:rFonts w:ascii="Times New Roman" w:hAnsi="Times New Roman"/>
          <w:i/>
          <w:color w:val="000000"/>
          <w:sz w:val="20"/>
        </w:rPr>
        <w:t>CEO &amp; Director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 . And with the Sun Country acquisition, just the work that B.J. and the team have done to strengthen the balance sheet over the years and the way we structured the deal, this isn’t going to -- the acquisition isn’t going to stretch us by any means. In fact, post-close and integration, it’s going to strengthen the balance sheet. We have a favorable well-timed match order and you combine that with the free cash flow that Sun Country is currently producing, that’s going to help us not only maintain a low leverage, but continue to deliver post combination.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2728</Words>
  <Characters>15439</Characters>
  <CharactersWithSpaces>18153</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