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4,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001-40217</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82-4092570</w:t>
            </w:r>
          </w:p>
        </w:tc>
      </w:tr>
      <w:tr>
        <w:trPr>
          <w:trHeight w:val="252"/>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rPr>
              <w:t>(State of</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File Number)</w:t>
            </w:r>
          </w:p>
        </w:tc>
        <w:tc>
          <w:tcPr>
            <w:tcW w:w="29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80"/>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73"/>
        </w:trPr>
        <w:tc>
          <w:tcPr>
            <w:tcW w:w="33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2380" w:type="dxa"/>
            <w:vAlign w:val="bottom"/>
          </w:tcPr>
          <w:p>
            <w:pPr>
              <w:spacing w:after="0"/>
              <w:rPr>
                <w:sz w:val="24"/>
                <w:szCs w:val="24"/>
                <w:color w:val="auto"/>
              </w:rPr>
            </w:pPr>
          </w:p>
        </w:tc>
        <w:tc>
          <w:tcPr>
            <w:tcW w:w="298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243"/>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80" w:type="dxa"/>
            <w:vAlign w:val="bottom"/>
          </w:tcPr>
          <w:p>
            <w:pPr>
              <w:spacing w:after="0"/>
              <w:rPr>
                <w:sz w:val="21"/>
                <w:szCs w:val="21"/>
                <w:color w:val="auto"/>
              </w:rPr>
            </w:pPr>
          </w:p>
        </w:tc>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February 4, 2025, Sun Country Airlines Holdings, Inc. issued a press release announcing its financial results for the year and fiscal quarter ended December 31, 2024. A copy of the press release is attached hereto as Exhibit 99.1 and incorporated by reference herein.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February 4, 2025</w:t>
            </w:r>
          </w:p>
        </w:tc>
      </w:tr>
      <w:tr>
        <w:trPr>
          <w:trHeight w:val="20"/>
        </w:trPr>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2025</w:t>
            </w:r>
          </w:p>
        </w:tc>
        <w:tc>
          <w:tcPr>
            <w:tcW w:w="790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320" w:type="dxa"/>
            <w:vAlign w:val="bottom"/>
          </w:tcPr>
          <w:p>
            <w:pPr>
              <w:spacing w:after="0"/>
              <w:rPr>
                <w:sz w:val="24"/>
                <w:szCs w:val="24"/>
                <w:color w:val="auto"/>
              </w:rPr>
            </w:pPr>
          </w:p>
        </w:tc>
        <w:tc>
          <w:tcPr>
            <w:tcW w:w="79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Reports Fourth Quarter and Full Year 2024 Results</w:t>
      </w:r>
    </w:p>
    <w:p>
      <w:pPr>
        <w:jc w:val="center"/>
        <w:spacing w:after="0" w:line="205" w:lineRule="auto"/>
        <w:rPr>
          <w:sz w:val="20"/>
          <w:szCs w:val="20"/>
          <w:color w:val="auto"/>
        </w:rPr>
      </w:pPr>
      <w:r>
        <w:rPr>
          <w:rFonts w:ascii="Arial" w:cs="Arial" w:eastAsia="Arial" w:hAnsi="Arial"/>
          <w:sz w:val="18"/>
          <w:szCs w:val="18"/>
          <w:color w:val="auto"/>
        </w:rPr>
        <w:t>Q4 2024 total revenue of $260.4 million, highest fourth quarter on record</w:t>
      </w:r>
      <w:r>
        <w:rPr>
          <w:rFonts w:ascii="Arial" w:cs="Arial" w:eastAsia="Arial" w:hAnsi="Arial"/>
          <w:sz w:val="23"/>
          <w:szCs w:val="23"/>
          <w:color w:val="auto"/>
          <w:vertAlign w:val="superscript"/>
        </w:rPr>
        <w:t>(1)</w:t>
      </w:r>
    </w:p>
    <w:p>
      <w:pPr>
        <w:jc w:val="center"/>
        <w:spacing w:after="0"/>
        <w:rPr>
          <w:sz w:val="20"/>
          <w:szCs w:val="20"/>
          <w:color w:val="auto"/>
        </w:rPr>
      </w:pPr>
      <w:r>
        <w:rPr>
          <w:rFonts w:ascii="Arial" w:cs="Arial" w:eastAsia="Arial" w:hAnsi="Arial"/>
          <w:sz w:val="18"/>
          <w:szCs w:val="18"/>
          <w:color w:val="auto"/>
        </w:rPr>
        <w:t>Q4 2024 GAAP diluted EPS of $0.24 and operating income margin of 10.0%</w:t>
      </w:r>
    </w:p>
    <w:p>
      <w:pPr>
        <w:jc w:val="center"/>
        <w:spacing w:after="0" w:line="196" w:lineRule="auto"/>
        <w:rPr>
          <w:sz w:val="20"/>
          <w:szCs w:val="20"/>
          <w:color w:val="auto"/>
        </w:rPr>
      </w:pPr>
      <w:r>
        <w:rPr>
          <w:rFonts w:ascii="Arial" w:cs="Arial" w:eastAsia="Arial" w:hAnsi="Arial"/>
          <w:sz w:val="18"/>
          <w:szCs w:val="18"/>
          <w:color w:val="auto"/>
        </w:rPr>
        <w:t>Q4 2024 Adjusted diluted EPS of $0.27</w:t>
      </w:r>
      <w:r>
        <w:rPr>
          <w:rFonts w:ascii="Arial" w:cs="Arial" w:eastAsia="Arial" w:hAnsi="Arial"/>
          <w:sz w:val="23"/>
          <w:szCs w:val="23"/>
          <w:color w:val="auto"/>
          <w:vertAlign w:val="superscript"/>
        </w:rPr>
        <w:t>(2)</w:t>
      </w:r>
    </w:p>
    <w:p>
      <w:pPr>
        <w:jc w:val="center"/>
        <w:spacing w:after="0" w:line="196" w:lineRule="auto"/>
        <w:rPr>
          <w:sz w:val="20"/>
          <w:szCs w:val="20"/>
          <w:color w:val="auto"/>
        </w:rPr>
      </w:pPr>
      <w:r>
        <w:rPr>
          <w:rFonts w:ascii="Arial" w:cs="Arial" w:eastAsia="Arial" w:hAnsi="Arial"/>
          <w:sz w:val="18"/>
          <w:szCs w:val="18"/>
          <w:color w:val="auto"/>
        </w:rPr>
        <w:t>Q4 2024 Adjusted operating income margin of 10.6%</w:t>
      </w:r>
      <w:r>
        <w:rPr>
          <w:rFonts w:ascii="Arial" w:cs="Arial" w:eastAsia="Arial" w:hAnsi="Arial"/>
          <w:sz w:val="23"/>
          <w:szCs w:val="23"/>
          <w:color w:val="auto"/>
          <w:vertAlign w:val="superscript"/>
        </w:rPr>
        <w:t>(2)</w:t>
      </w:r>
      <w:r>
        <w:rPr>
          <w:rFonts w:ascii="Arial" w:cs="Arial" w:eastAsia="Arial" w:hAnsi="Arial"/>
          <w:sz w:val="18"/>
          <w:szCs w:val="18"/>
          <w:color w:val="auto"/>
        </w:rPr>
        <w:t>, highest fourth quarter on record</w:t>
      </w:r>
      <w:r>
        <w:rPr>
          <w:rFonts w:ascii="Arial" w:cs="Arial" w:eastAsia="Arial" w:hAnsi="Arial"/>
          <w:sz w:val="23"/>
          <w:szCs w:val="23"/>
          <w:color w:val="auto"/>
          <w:vertAlign w:val="superscript"/>
        </w:rPr>
        <w:t>(1)</w:t>
      </w:r>
    </w:p>
    <w:p>
      <w:pPr>
        <w:jc w:val="center"/>
        <w:spacing w:after="0" w:line="205" w:lineRule="auto"/>
        <w:rPr>
          <w:sz w:val="20"/>
          <w:szCs w:val="20"/>
          <w:color w:val="auto"/>
        </w:rPr>
      </w:pPr>
      <w:r>
        <w:rPr>
          <w:rFonts w:ascii="Arial" w:cs="Arial" w:eastAsia="Arial" w:hAnsi="Arial"/>
          <w:sz w:val="18"/>
          <w:szCs w:val="18"/>
          <w:color w:val="auto"/>
        </w:rPr>
        <w:t>FY 2024 total revenue of $1.08 billion, highest full year on record</w:t>
      </w:r>
      <w:r>
        <w:rPr>
          <w:rFonts w:ascii="Arial" w:cs="Arial" w:eastAsia="Arial" w:hAnsi="Arial"/>
          <w:sz w:val="23"/>
          <w:szCs w:val="23"/>
          <w:color w:val="auto"/>
          <w:vertAlign w:val="superscript"/>
        </w:rPr>
        <w:t>(1)</w:t>
      </w:r>
    </w:p>
    <w:p>
      <w:pPr>
        <w:jc w:val="center"/>
        <w:spacing w:after="0"/>
        <w:rPr>
          <w:sz w:val="20"/>
          <w:szCs w:val="20"/>
          <w:color w:val="auto"/>
        </w:rPr>
      </w:pPr>
      <w:r>
        <w:rPr>
          <w:rFonts w:ascii="Arial" w:cs="Arial" w:eastAsia="Arial" w:hAnsi="Arial"/>
          <w:sz w:val="18"/>
          <w:szCs w:val="18"/>
          <w:color w:val="auto"/>
        </w:rPr>
        <w:t>FY 2024 GAAP diluted EPS of $0.96 and operating income margin of 9.9%</w:t>
      </w:r>
    </w:p>
    <w:p>
      <w:pPr>
        <w:jc w:val="center"/>
        <w:spacing w:after="0"/>
        <w:rPr>
          <w:sz w:val="20"/>
          <w:szCs w:val="20"/>
          <w:color w:val="auto"/>
        </w:rPr>
      </w:pPr>
      <w:r>
        <w:rPr>
          <w:rFonts w:ascii="Arial" w:cs="Arial" w:eastAsia="Arial" w:hAnsi="Arial"/>
          <w:sz w:val="18"/>
          <w:szCs w:val="18"/>
          <w:color w:val="auto"/>
        </w:rPr>
        <w:t>FY 2024 Adjusted diluted EPS of $1.05</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adjusted operating income margin of 10.4%</w:t>
      </w:r>
      <w:r>
        <w:rPr>
          <w:rFonts w:ascii="Arial" w:cs="Arial" w:eastAsia="Arial" w:hAnsi="Arial"/>
          <w:sz w:val="23"/>
          <w:szCs w:val="23"/>
          <w:color w:val="auto"/>
          <w:vertAlign w:val="superscript"/>
        </w:rPr>
        <w:t>(2)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MINNEAPOLIS. February 4, 2025. Sun Country Airlines Holdings, Inc. (“Sun Country Airlines,” “Sun Country,” the “Company”) (</w:t>
      </w:r>
      <w:r>
        <w:rPr>
          <w:rFonts w:ascii="Arial" w:cs="Arial" w:eastAsia="Arial" w:hAnsi="Arial"/>
          <w:sz w:val="18"/>
          <w:szCs w:val="18"/>
          <w:color w:val="0563C1"/>
        </w:rPr>
        <w:t>NASDAQ: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fourth quarter and full year ended December 31, 2024.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A0A0A"/>
        </w:rPr>
        <w:t>“Sun Country’s uniquely diversified business model and the efforts of our outstanding employees produced record fourth quarter revenue</w:t>
      </w:r>
      <w:r>
        <w:rPr>
          <w:rFonts w:ascii="Arial" w:cs="Arial" w:eastAsia="Arial" w:hAnsi="Arial"/>
          <w:sz w:val="23"/>
          <w:szCs w:val="23"/>
          <w:color w:val="0A0A0A"/>
          <w:vertAlign w:val="superscript"/>
        </w:rPr>
        <w:t>(1)</w:t>
      </w:r>
    </w:p>
    <w:p>
      <w:pPr>
        <w:spacing w:after="0" w:line="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0A0A0A"/>
        </w:rPr>
        <w:t>and pretax earnings. Our full year results were also strong, with record revenue</w:t>
      </w:r>
      <w:r>
        <w:rPr>
          <w:rFonts w:ascii="Arial" w:cs="Arial" w:eastAsia="Arial" w:hAnsi="Arial"/>
          <w:sz w:val="23"/>
          <w:szCs w:val="23"/>
          <w:color w:val="0A0A0A"/>
          <w:vertAlign w:val="superscript"/>
        </w:rPr>
        <w:t>(1)</w:t>
      </w:r>
      <w:r>
        <w:rPr>
          <w:rFonts w:ascii="Arial" w:cs="Arial" w:eastAsia="Arial" w:hAnsi="Arial"/>
          <w:sz w:val="18"/>
          <w:szCs w:val="18"/>
          <w:color w:val="0A0A0A"/>
        </w:rPr>
        <w:t xml:space="preserve">, a </w:t>
      </w:r>
      <w:r>
        <w:rPr>
          <w:rFonts w:ascii="Arial" w:cs="Arial" w:eastAsia="Arial" w:hAnsi="Arial"/>
          <w:sz w:val="18"/>
          <w:szCs w:val="18"/>
          <w:color w:val="000000"/>
        </w:rPr>
        <w:t>9.9%</w:t>
      </w:r>
      <w:r>
        <w:rPr>
          <w:rFonts w:ascii="Arial" w:cs="Arial" w:eastAsia="Arial" w:hAnsi="Arial"/>
          <w:sz w:val="18"/>
          <w:szCs w:val="18"/>
          <w:color w:val="0A0A0A"/>
        </w:rPr>
        <w:t xml:space="preserve"> GAAP operating income margin and a </w:t>
      </w:r>
      <w:r>
        <w:rPr>
          <w:rFonts w:ascii="Arial" w:cs="Arial" w:eastAsia="Arial" w:hAnsi="Arial"/>
          <w:sz w:val="18"/>
          <w:szCs w:val="18"/>
          <w:color w:val="000000"/>
        </w:rPr>
        <w:t>10.4%</w:t>
      </w:r>
      <w:r>
        <w:rPr>
          <w:rFonts w:ascii="Arial" w:cs="Arial" w:eastAsia="Arial" w:hAnsi="Arial"/>
          <w:sz w:val="18"/>
          <w:szCs w:val="18"/>
          <w:color w:val="0A0A0A"/>
        </w:rPr>
        <w:t xml:space="preserve"> adjusted operating income margin</w:t>
      </w:r>
      <w:r>
        <w:rPr>
          <w:rFonts w:ascii="Arial" w:cs="Arial" w:eastAsia="Arial" w:hAnsi="Arial"/>
          <w:sz w:val="23"/>
          <w:szCs w:val="23"/>
          <w:color w:val="0A0A0A"/>
          <w:vertAlign w:val="superscript"/>
        </w:rPr>
        <w:t>(2)</w:t>
      </w:r>
      <w:r>
        <w:rPr>
          <w:rFonts w:ascii="Arial" w:cs="Arial" w:eastAsia="Arial" w:hAnsi="Arial"/>
          <w:sz w:val="18"/>
          <w:szCs w:val="18"/>
          <w:color w:val="0A0A0A"/>
        </w:rPr>
        <w:t>,” said Jude Bricker, Chief Executive Officer of Sun Country. “We were an industry leader in making significant capacity adjustments in response to industry oversupply, particularly during off-peak periods. The capacity environment in the fourth quarter was more balanced and we see this continuing into the first quarter of 2025. The improved economics of our cargo business also contributed to our strong results in the second half of the year. As we move into 2025, we expect the favorable environment to continue, with strong unit revenue trends in our passenger business and the addition of eight more Amazon freighter aircraft to our fleet throughout the</w:t>
      </w:r>
    </w:p>
    <w:p>
      <w:pPr>
        <w:spacing w:after="0" w:line="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0A0A0A"/>
        </w:rPr>
        <w:t>year. Our revenue streams are becoming even more diverse as we increase cargo flying, and our earnings are becoming more stable as more of our flying moves under contractual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Fourth Quarter and Full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38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Three Months Ended December 31,</w:t>
            </w:r>
          </w:p>
        </w:tc>
        <w:tc>
          <w:tcPr>
            <w:tcW w:w="1500" w:type="dxa"/>
            <w:vAlign w:val="bottom"/>
          </w:tcPr>
          <w:p>
            <w:pPr>
              <w:spacing w:after="0"/>
              <w:rPr>
                <w:sz w:val="17"/>
                <w:szCs w:val="17"/>
                <w:color w:val="auto"/>
              </w:rPr>
            </w:pPr>
          </w:p>
        </w:tc>
      </w:tr>
      <w:tr>
        <w:trPr>
          <w:trHeight w:val="203"/>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0A0A0A"/>
              </w:rPr>
              <w:t>2024</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0A0A0A"/>
              </w:rPr>
              <w:t>2023</w:t>
            </w:r>
          </w:p>
        </w:tc>
        <w:tc>
          <w:tcPr>
            <w:tcW w:w="15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260.4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245.5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6.1</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26.1</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17.1</w:t>
            </w:r>
          </w:p>
        </w:tc>
        <w:tc>
          <w:tcPr>
            <w:tcW w:w="1500" w:type="dxa"/>
            <w:vAlign w:val="bottom"/>
          </w:tcPr>
          <w:p>
            <w:pPr>
              <w:jc w:val="right"/>
              <w:spacing w:after="0"/>
              <w:rPr>
                <w:sz w:val="20"/>
                <w:szCs w:val="20"/>
                <w:color w:val="auto"/>
              </w:rPr>
            </w:pPr>
            <w:r>
              <w:rPr>
                <w:rFonts w:ascii="Arial" w:cs="Arial" w:eastAsia="Arial" w:hAnsi="Arial"/>
                <w:sz w:val="18"/>
                <w:szCs w:val="18"/>
                <w:color w:val="0A0A0A"/>
              </w:rPr>
              <w:t>52.2</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16.9</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7.7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121.0</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13.4</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5.6</w:t>
            </w:r>
          </w:p>
        </w:tc>
        <w:tc>
          <w:tcPr>
            <w:tcW w:w="1500" w:type="dxa"/>
            <w:vAlign w:val="bottom"/>
          </w:tcPr>
          <w:p>
            <w:pPr>
              <w:jc w:val="right"/>
              <w:spacing w:after="0"/>
              <w:rPr>
                <w:sz w:val="20"/>
                <w:szCs w:val="20"/>
                <w:color w:val="auto"/>
              </w:rPr>
            </w:pPr>
            <w:r>
              <w:rPr>
                <w:rFonts w:ascii="Arial" w:cs="Arial" w:eastAsia="Arial" w:hAnsi="Arial"/>
                <w:sz w:val="18"/>
                <w:szCs w:val="18"/>
                <w:color w:val="0A0A0A"/>
              </w:rPr>
              <w:t>138.0</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0.24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0.10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140.0</w:t>
            </w:r>
          </w:p>
        </w:tc>
      </w:tr>
      <w:tr>
        <w:trPr>
          <w:trHeight w:val="363"/>
        </w:trPr>
        <w:tc>
          <w:tcPr>
            <w:tcW w:w="4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Three Months Ended December 31,</w:t>
            </w:r>
          </w:p>
        </w:tc>
        <w:tc>
          <w:tcPr>
            <w:tcW w:w="1500" w:type="dxa"/>
            <w:vAlign w:val="bottom"/>
          </w:tcPr>
          <w:p>
            <w:pPr>
              <w:spacing w:after="0"/>
              <w:rPr>
                <w:sz w:val="24"/>
                <w:szCs w:val="24"/>
                <w:color w:val="auto"/>
              </w:rPr>
            </w:pPr>
          </w:p>
        </w:tc>
      </w:tr>
      <w:tr>
        <w:trPr>
          <w:trHeight w:val="203"/>
        </w:trPr>
        <w:tc>
          <w:tcPr>
            <w:tcW w:w="4800" w:type="dxa"/>
            <w:vAlign w:val="bottom"/>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Pr>
          <w:p>
            <w:pPr>
              <w:spacing w:after="0"/>
              <w:rPr>
                <w:sz w:val="17"/>
                <w:szCs w:val="17"/>
                <w:color w:val="auto"/>
              </w:rPr>
            </w:pPr>
          </w:p>
        </w:tc>
        <w:tc>
          <w:tcPr>
            <w:tcW w:w="1400" w:type="dxa"/>
            <w:vAlign w:val="bottom"/>
          </w:tcPr>
          <w:p>
            <w:pPr>
              <w:jc w:val="right"/>
              <w:ind w:right="618"/>
              <w:spacing w:after="0"/>
              <w:rPr>
                <w:sz w:val="20"/>
                <w:szCs w:val="20"/>
                <w:color w:val="auto"/>
              </w:rPr>
            </w:pPr>
            <w:r>
              <w:rPr>
                <w:rFonts w:ascii="Arial" w:cs="Arial" w:eastAsia="Arial" w:hAnsi="Arial"/>
                <w:sz w:val="14"/>
                <w:szCs w:val="14"/>
                <w:b w:val="1"/>
                <w:bCs w:val="1"/>
                <w:color w:val="0A0A0A"/>
              </w:rPr>
              <w:t>2024</w:t>
            </w:r>
          </w:p>
        </w:tc>
        <w:tc>
          <w:tcPr>
            <w:tcW w:w="440" w:type="dxa"/>
            <w:vAlign w:val="bottom"/>
          </w:tcPr>
          <w:p>
            <w:pPr>
              <w:spacing w:after="0"/>
              <w:rPr>
                <w:sz w:val="17"/>
                <w:szCs w:val="17"/>
                <w:color w:val="auto"/>
              </w:rPr>
            </w:pPr>
          </w:p>
        </w:tc>
        <w:tc>
          <w:tcPr>
            <w:tcW w:w="1540" w:type="dxa"/>
            <w:vAlign w:val="bottom"/>
          </w:tcPr>
          <w:p>
            <w:pPr>
              <w:jc w:val="right"/>
              <w:ind w:right="855"/>
              <w:spacing w:after="0"/>
              <w:rPr>
                <w:sz w:val="20"/>
                <w:szCs w:val="20"/>
                <w:color w:val="auto"/>
              </w:rPr>
            </w:pPr>
            <w:r>
              <w:rPr>
                <w:rFonts w:ascii="Arial" w:cs="Arial" w:eastAsia="Arial" w:hAnsi="Arial"/>
                <w:sz w:val="14"/>
                <w:szCs w:val="14"/>
                <w:b w:val="1"/>
                <w:bCs w:val="1"/>
                <w:color w:val="0A0A0A"/>
              </w:rPr>
              <w:t>2023</w:t>
            </w:r>
          </w:p>
        </w:tc>
        <w:tc>
          <w:tcPr>
            <w:tcW w:w="1500" w:type="dxa"/>
            <w:vAlign w:val="bottom"/>
          </w:tcPr>
          <w:p>
            <w:pPr>
              <w:jc w:val="right"/>
              <w:ind w:right="415"/>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p>
      <w:pPr>
        <w:spacing w:after="0" w:line="3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80" w:type="dxa"/>
            <w:vAlign w:val="bottom"/>
          </w:tcPr>
          <w:p>
            <w:pPr>
              <w:jc w:val="right"/>
              <w:ind w:right="190"/>
              <w:spacing w:after="0"/>
              <w:rPr>
                <w:sz w:val="20"/>
                <w:szCs w:val="20"/>
                <w:color w:val="auto"/>
              </w:rPr>
            </w:pPr>
            <w:r>
              <w:rPr>
                <w:rFonts w:ascii="Arial" w:cs="Arial" w:eastAsia="Arial" w:hAnsi="Arial"/>
                <w:sz w:val="18"/>
                <w:szCs w:val="18"/>
                <w:color w:val="0A0A0A"/>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0A0A0A"/>
              </w:rPr>
              <w:t>27.5</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18.3</w:t>
            </w:r>
          </w:p>
        </w:tc>
        <w:tc>
          <w:tcPr>
            <w:tcW w:w="1440" w:type="dxa"/>
            <w:vAlign w:val="bottom"/>
          </w:tcPr>
          <w:p>
            <w:pPr>
              <w:jc w:val="right"/>
              <w:spacing w:after="0"/>
              <w:rPr>
                <w:sz w:val="20"/>
                <w:szCs w:val="20"/>
                <w:color w:val="auto"/>
              </w:rPr>
            </w:pPr>
            <w:r>
              <w:rPr>
                <w:rFonts w:ascii="Arial" w:cs="Arial" w:eastAsia="Arial" w:hAnsi="Arial"/>
                <w:sz w:val="18"/>
                <w:szCs w:val="18"/>
                <w:color w:val="0A0A0A"/>
              </w:rPr>
              <w:t>50.6</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18.9</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9.3</w:t>
            </w:r>
          </w:p>
        </w:tc>
        <w:tc>
          <w:tcPr>
            <w:tcW w:w="1440" w:type="dxa"/>
            <w:vAlign w:val="bottom"/>
          </w:tcPr>
          <w:p>
            <w:pPr>
              <w:jc w:val="right"/>
              <w:spacing w:after="0"/>
              <w:rPr>
                <w:sz w:val="20"/>
                <w:szCs w:val="20"/>
                <w:color w:val="auto"/>
              </w:rPr>
            </w:pPr>
            <w:r>
              <w:rPr>
                <w:rFonts w:ascii="Arial" w:cs="Arial" w:eastAsia="Arial" w:hAnsi="Arial"/>
                <w:sz w:val="18"/>
                <w:szCs w:val="18"/>
                <w:color w:val="0A0A0A"/>
              </w:rPr>
              <w:t>103.7</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15.0</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6.9</w:t>
            </w:r>
          </w:p>
        </w:tc>
        <w:tc>
          <w:tcPr>
            <w:tcW w:w="1440" w:type="dxa"/>
            <w:vAlign w:val="bottom"/>
          </w:tcPr>
          <w:p>
            <w:pPr>
              <w:jc w:val="right"/>
              <w:spacing w:after="0"/>
              <w:rPr>
                <w:sz w:val="20"/>
                <w:szCs w:val="20"/>
                <w:color w:val="auto"/>
              </w:rPr>
            </w:pPr>
            <w:r>
              <w:rPr>
                <w:rFonts w:ascii="Arial" w:cs="Arial" w:eastAsia="Arial" w:hAnsi="Arial"/>
                <w:sz w:val="18"/>
                <w:szCs w:val="18"/>
                <w:color w:val="0A0A0A"/>
              </w:rPr>
              <w:t>117.1</w:t>
            </w:r>
          </w:p>
        </w:tc>
      </w:tr>
      <w:tr>
        <w:trPr>
          <w:trHeight w:val="27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0.27</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0.12</w:t>
            </w:r>
          </w:p>
        </w:tc>
        <w:tc>
          <w:tcPr>
            <w:tcW w:w="1440" w:type="dxa"/>
            <w:vAlign w:val="bottom"/>
          </w:tcPr>
          <w:p>
            <w:pPr>
              <w:jc w:val="right"/>
              <w:spacing w:after="0"/>
              <w:rPr>
                <w:sz w:val="20"/>
                <w:szCs w:val="20"/>
                <w:color w:val="auto"/>
              </w:rPr>
            </w:pPr>
            <w:r>
              <w:rPr>
                <w:rFonts w:ascii="Arial" w:cs="Arial" w:eastAsia="Arial" w:hAnsi="Arial"/>
                <w:sz w:val="18"/>
                <w:szCs w:val="18"/>
                <w:color w:val="0A0A0A"/>
              </w:rPr>
              <w:t>125.0</w:t>
            </w:r>
          </w:p>
        </w:tc>
      </w:tr>
      <w:tr>
        <w:trPr>
          <w:trHeight w:val="413"/>
        </w:trPr>
        <w:tc>
          <w:tcPr>
            <w:tcW w:w="380" w:type="dxa"/>
            <w:vAlign w:val="bottom"/>
          </w:tcPr>
          <w:p>
            <w:pPr>
              <w:spacing w:after="0"/>
              <w:rPr>
                <w:sz w:val="24"/>
                <w:szCs w:val="24"/>
                <w:color w:val="auto"/>
              </w:rPr>
            </w:pPr>
          </w:p>
        </w:tc>
        <w:tc>
          <w:tcPr>
            <w:tcW w:w="3300" w:type="dxa"/>
            <w:vAlign w:val="bottom"/>
            <w:gridSpan w:val="3"/>
          </w:tcPr>
          <w:p>
            <w:pPr>
              <w:jc w:val="right"/>
              <w:ind w:right="994"/>
              <w:spacing w:after="0"/>
              <w:rPr>
                <w:sz w:val="20"/>
                <w:szCs w:val="20"/>
                <w:color w:val="auto"/>
              </w:rPr>
            </w:pPr>
            <w:r>
              <w:rPr>
                <w:rFonts w:ascii="Arial" w:cs="Arial" w:eastAsia="Arial" w:hAnsi="Arial"/>
                <w:sz w:val="14"/>
                <w:szCs w:val="14"/>
                <w:b w:val="1"/>
                <w:bCs w:val="1"/>
                <w:color w:val="0A0A0A"/>
              </w:rPr>
              <w:t>Year Ended December 31,</w:t>
            </w:r>
          </w:p>
        </w:tc>
        <w:tc>
          <w:tcPr>
            <w:tcW w:w="14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320" w:type="dxa"/>
            <w:vAlign w:val="bottom"/>
          </w:tcPr>
          <w:p>
            <w:pPr>
              <w:jc w:val="right"/>
              <w:ind w:right="616"/>
              <w:spacing w:after="0"/>
              <w:rPr>
                <w:sz w:val="20"/>
                <w:szCs w:val="20"/>
                <w:color w:val="auto"/>
              </w:rPr>
            </w:pPr>
            <w:r>
              <w:rPr>
                <w:rFonts w:ascii="Arial" w:cs="Arial" w:eastAsia="Arial" w:hAnsi="Arial"/>
                <w:sz w:val="14"/>
                <w:szCs w:val="14"/>
                <w:b w:val="1"/>
                <w:bCs w:val="1"/>
                <w:color w:val="0A0A0A"/>
              </w:rPr>
              <w:t>2024</w:t>
            </w:r>
          </w:p>
        </w:tc>
        <w:tc>
          <w:tcPr>
            <w:tcW w:w="440" w:type="dxa"/>
            <w:vAlign w:val="bottom"/>
          </w:tcPr>
          <w:p>
            <w:pPr>
              <w:spacing w:after="0"/>
              <w:rPr>
                <w:sz w:val="17"/>
                <w:szCs w:val="17"/>
                <w:color w:val="auto"/>
              </w:rPr>
            </w:pPr>
          </w:p>
        </w:tc>
        <w:tc>
          <w:tcPr>
            <w:tcW w:w="1540" w:type="dxa"/>
            <w:vAlign w:val="bottom"/>
          </w:tcPr>
          <w:p>
            <w:pPr>
              <w:jc w:val="right"/>
              <w:ind w:right="854"/>
              <w:spacing w:after="0"/>
              <w:rPr>
                <w:sz w:val="20"/>
                <w:szCs w:val="20"/>
                <w:color w:val="auto"/>
              </w:rPr>
            </w:pPr>
            <w:r>
              <w:rPr>
                <w:rFonts w:ascii="Arial" w:cs="Arial" w:eastAsia="Arial" w:hAnsi="Arial"/>
                <w:sz w:val="14"/>
                <w:szCs w:val="14"/>
                <w:b w:val="1"/>
                <w:bCs w:val="1"/>
                <w:color w:val="0A0A0A"/>
              </w:rPr>
              <w:t>2023</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-709930</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1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24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0A0A0A"/>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1,075.7</w:t>
            </w:r>
          </w:p>
        </w:tc>
        <w:tc>
          <w:tcPr>
            <w:tcW w:w="6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0A0A0A"/>
              </w:rPr>
              <w:t>$</w:t>
            </w:r>
          </w:p>
        </w:tc>
        <w:tc>
          <w:tcPr>
            <w:tcW w:w="17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0A0A0A"/>
              </w:rPr>
              <w:t>1,049.6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2.5</w:t>
            </w:r>
          </w:p>
        </w:tc>
      </w:tr>
      <w:tr>
        <w:trPr>
          <w:trHeight w:val="229"/>
        </w:trPr>
        <w:tc>
          <w:tcPr>
            <w:tcW w:w="412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2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A0A0A"/>
              </w:rPr>
              <w:t>106.0</w:t>
            </w:r>
          </w:p>
        </w:tc>
        <w:tc>
          <w:tcPr>
            <w:tcW w:w="620" w:type="dxa"/>
            <w:vAlign w:val="bottom"/>
          </w:tcPr>
          <w:p>
            <w:pPr>
              <w:spacing w:after="0"/>
              <w:rPr>
                <w:sz w:val="19"/>
                <w:szCs w:val="19"/>
                <w:color w:val="auto"/>
              </w:rPr>
            </w:pPr>
          </w:p>
        </w:tc>
        <w:tc>
          <w:tcPr>
            <w:tcW w:w="1720" w:type="dxa"/>
            <w:vAlign w:val="bottom"/>
          </w:tcPr>
          <w:p>
            <w:pPr>
              <w:jc w:val="right"/>
              <w:ind w:right="550"/>
              <w:spacing w:after="0"/>
              <w:rPr>
                <w:sz w:val="20"/>
                <w:szCs w:val="20"/>
                <w:color w:val="auto"/>
              </w:rPr>
            </w:pPr>
            <w:r>
              <w:rPr>
                <w:rFonts w:ascii="Arial" w:cs="Arial" w:eastAsia="Arial" w:hAnsi="Arial"/>
                <w:sz w:val="18"/>
                <w:szCs w:val="18"/>
                <w:color w:val="0A0A0A"/>
              </w:rPr>
              <w:t>127.5</w:t>
            </w:r>
          </w:p>
        </w:tc>
        <w:tc>
          <w:tcPr>
            <w:tcW w:w="1160" w:type="dxa"/>
            <w:vAlign w:val="bottom"/>
          </w:tcPr>
          <w:p>
            <w:pPr>
              <w:jc w:val="right"/>
              <w:spacing w:after="0"/>
              <w:rPr>
                <w:sz w:val="20"/>
                <w:szCs w:val="20"/>
                <w:color w:val="auto"/>
              </w:rPr>
            </w:pPr>
            <w:r>
              <w:rPr>
                <w:rFonts w:ascii="Arial" w:cs="Arial" w:eastAsia="Arial" w:hAnsi="Arial"/>
                <w:sz w:val="18"/>
                <w:szCs w:val="18"/>
                <w:color w:val="0A0A0A"/>
              </w:rPr>
              <w:t>(16.9)</w:t>
            </w:r>
          </w:p>
        </w:tc>
      </w:tr>
      <w:tr>
        <w:trPr>
          <w:trHeight w:val="230"/>
        </w:trPr>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2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69.6</w:t>
            </w: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94.2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(26.1)</w:t>
            </w:r>
          </w:p>
        </w:tc>
      </w:tr>
      <w:tr>
        <w:trPr>
          <w:trHeight w:val="230"/>
        </w:trPr>
        <w:tc>
          <w:tcPr>
            <w:tcW w:w="412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2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A0A0A"/>
              </w:rPr>
              <w:t>52.9</w:t>
            </w:r>
          </w:p>
        </w:tc>
        <w:tc>
          <w:tcPr>
            <w:tcW w:w="620" w:type="dxa"/>
            <w:vAlign w:val="bottom"/>
          </w:tcPr>
          <w:p>
            <w:pPr>
              <w:spacing w:after="0"/>
              <w:rPr>
                <w:sz w:val="19"/>
                <w:szCs w:val="19"/>
                <w:color w:val="auto"/>
              </w:rPr>
            </w:pP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72.2</w:t>
            </w:r>
          </w:p>
        </w:tc>
        <w:tc>
          <w:tcPr>
            <w:tcW w:w="1160" w:type="dxa"/>
            <w:vAlign w:val="bottom"/>
          </w:tcPr>
          <w:p>
            <w:pPr>
              <w:jc w:val="right"/>
              <w:spacing w:after="0"/>
              <w:rPr>
                <w:sz w:val="20"/>
                <w:szCs w:val="20"/>
                <w:color w:val="auto"/>
              </w:rPr>
            </w:pPr>
            <w:r>
              <w:rPr>
                <w:rFonts w:ascii="Arial" w:cs="Arial" w:eastAsia="Arial" w:hAnsi="Arial"/>
                <w:sz w:val="18"/>
                <w:szCs w:val="18"/>
                <w:color w:val="0A0A0A"/>
              </w:rPr>
              <w:t>(26.7)</w:t>
            </w:r>
          </w:p>
        </w:tc>
      </w:tr>
      <w:tr>
        <w:trPr>
          <w:trHeight w:val="229"/>
        </w:trPr>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2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0A0A0A"/>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0.96</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0A0A0A"/>
              </w:rPr>
              <w:t>$</w:t>
            </w:r>
          </w:p>
        </w:tc>
        <w:tc>
          <w:tcPr>
            <w:tcW w:w="1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0A0A0A"/>
              </w:rPr>
              <w:t>1.23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(22.0)</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00" w:type="dxa"/>
            <w:vAlign w:val="bottom"/>
            <w:gridSpan w:val="3"/>
          </w:tcPr>
          <w:p>
            <w:pPr>
              <w:jc w:val="right"/>
              <w:ind w:right="994"/>
              <w:spacing w:after="0"/>
              <w:rPr>
                <w:sz w:val="20"/>
                <w:szCs w:val="20"/>
                <w:color w:val="auto"/>
              </w:rPr>
            </w:pPr>
            <w:r>
              <w:rPr>
                <w:rFonts w:ascii="Arial" w:cs="Arial" w:eastAsia="Arial" w:hAnsi="Arial"/>
                <w:sz w:val="14"/>
                <w:szCs w:val="14"/>
                <w:b w:val="1"/>
                <w:bCs w:val="1"/>
                <w:color w:val="0A0A0A"/>
              </w:rPr>
              <w:t>Year Ended December 31,</w:t>
            </w:r>
          </w:p>
        </w:tc>
        <w:tc>
          <w:tcPr>
            <w:tcW w:w="1500" w:type="dxa"/>
            <w:vAlign w:val="bottom"/>
          </w:tcPr>
          <w:p>
            <w:pPr>
              <w:spacing w:after="0"/>
              <w:rPr>
                <w:sz w:val="17"/>
                <w:szCs w:val="17"/>
                <w:color w:val="auto"/>
              </w:rPr>
            </w:pPr>
          </w:p>
        </w:tc>
      </w:tr>
      <w:tr>
        <w:trPr>
          <w:trHeight w:val="203"/>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0A0A0A"/>
              </w:rPr>
              <w:t>2024</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0A0A0A"/>
              </w:rPr>
              <w:t>2023</w:t>
            </w:r>
          </w:p>
        </w:tc>
        <w:tc>
          <w:tcPr>
            <w:tcW w:w="15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0A0A0A"/>
              </w:rPr>
              <w:t>% Change</w:t>
            </w:r>
          </w:p>
        </w:tc>
      </w:tr>
      <w:tr>
        <w:trPr>
          <w:trHeight w:val="265"/>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112.0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0A0A0A"/>
              </w:rPr>
              <w:t>136.8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(18.1)</w:t>
            </w:r>
          </w:p>
        </w:tc>
      </w:tr>
      <w:tr>
        <w:trPr>
          <w:trHeight w:val="27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tc>
        <w:tc>
          <w:tcPr>
            <w:tcW w:w="16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76.1</w:t>
            </w:r>
          </w:p>
        </w:tc>
        <w:tc>
          <w:tcPr>
            <w:tcW w:w="46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104.2</w:t>
            </w:r>
          </w:p>
        </w:tc>
        <w:tc>
          <w:tcPr>
            <w:tcW w:w="1500" w:type="dxa"/>
            <w:vAlign w:val="bottom"/>
          </w:tcPr>
          <w:p>
            <w:pPr>
              <w:jc w:val="right"/>
              <w:spacing w:after="0"/>
              <w:rPr>
                <w:sz w:val="20"/>
                <w:szCs w:val="20"/>
                <w:color w:val="auto"/>
              </w:rPr>
            </w:pPr>
            <w:r>
              <w:rPr>
                <w:rFonts w:ascii="Arial" w:cs="Arial" w:eastAsia="Arial" w:hAnsi="Arial"/>
                <w:sz w:val="18"/>
                <w:szCs w:val="18"/>
                <w:color w:val="0A0A0A"/>
              </w:rPr>
              <w:t>(26.9)</w:t>
            </w:r>
          </w:p>
        </w:tc>
      </w:tr>
      <w:tr>
        <w:trPr>
          <w:trHeight w:val="27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tc>
        <w:tc>
          <w:tcPr>
            <w:tcW w:w="16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58.0</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0A0A0A"/>
              </w:rPr>
              <w:t>79.9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(27.4)</w:t>
            </w:r>
          </w:p>
        </w:tc>
      </w:tr>
      <w:tr>
        <w:trPr>
          <w:trHeight w:val="33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tc>
        <w:tc>
          <w:tcPr>
            <w:tcW w:w="1620" w:type="dxa"/>
            <w:vAlign w:val="bottom"/>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tcPr>
          <w:p>
            <w:pPr>
              <w:jc w:val="right"/>
              <w:spacing w:after="0"/>
              <w:rPr>
                <w:sz w:val="20"/>
                <w:szCs w:val="20"/>
                <w:color w:val="auto"/>
              </w:rPr>
            </w:pPr>
            <w:r>
              <w:rPr>
                <w:rFonts w:ascii="Arial" w:cs="Arial" w:eastAsia="Arial" w:hAnsi="Arial"/>
                <w:sz w:val="18"/>
                <w:szCs w:val="18"/>
                <w:color w:val="0A0A0A"/>
              </w:rPr>
              <w:t>1.05</w:t>
            </w:r>
          </w:p>
        </w:tc>
        <w:tc>
          <w:tcPr>
            <w:tcW w:w="46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1.37</w:t>
            </w:r>
          </w:p>
        </w:tc>
        <w:tc>
          <w:tcPr>
            <w:tcW w:w="1500" w:type="dxa"/>
            <w:vAlign w:val="bottom"/>
          </w:tcPr>
          <w:p>
            <w:pPr>
              <w:jc w:val="right"/>
              <w:spacing w:after="0"/>
              <w:rPr>
                <w:sz w:val="20"/>
                <w:szCs w:val="20"/>
                <w:color w:val="auto"/>
              </w:rPr>
            </w:pPr>
            <w:r>
              <w:rPr>
                <w:rFonts w:ascii="Arial" w:cs="Arial" w:eastAsia="Arial" w:hAnsi="Arial"/>
                <w:sz w:val="18"/>
                <w:szCs w:val="18"/>
                <w:color w:val="0A0A0A"/>
              </w:rPr>
              <w:t>(23.4)</w:t>
            </w:r>
          </w:p>
        </w:tc>
      </w:tr>
    </w:tbl>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A0A0A"/>
        </w:rPr>
        <w:t>For the quarter ended December 31, 2024, Sun Country reported Income Before Income Tax of $16.9 million and Net Income of $13.4 million, on $260.4 million of revenue. Adjusted Income Before Income Tax for the quarter was $18.9 million</w:t>
      </w:r>
      <w:r>
        <w:rPr>
          <w:rFonts w:ascii="Arial" w:cs="Arial" w:eastAsia="Arial" w:hAnsi="Arial"/>
          <w:sz w:val="23"/>
          <w:szCs w:val="23"/>
          <w:color w:val="0A0A0A"/>
          <w:vertAlign w:val="superscript"/>
        </w:rPr>
        <w:t>(2)</w:t>
      </w:r>
      <w:r>
        <w:rPr>
          <w:rFonts w:ascii="Arial" w:cs="Arial" w:eastAsia="Arial" w:hAnsi="Arial"/>
          <w:sz w:val="18"/>
          <w:szCs w:val="18"/>
          <w:color w:val="0A0A0A"/>
        </w:rPr>
        <w:t>. GAAP Operating Income during the quarter was $26.1 million, producing an Operating Income Margin of 10.0%, while Adjusted Operating Income was $27.5 million</w:t>
      </w:r>
      <w:r>
        <w:rPr>
          <w:rFonts w:ascii="Arial" w:cs="Arial" w:eastAsia="Arial" w:hAnsi="Arial"/>
          <w:sz w:val="23"/>
          <w:szCs w:val="23"/>
          <w:color w:val="0A0A0A"/>
          <w:vertAlign w:val="superscript"/>
        </w:rPr>
        <w:t>(2)</w:t>
      </w:r>
      <w:r>
        <w:rPr>
          <w:rFonts w:ascii="Arial" w:cs="Arial" w:eastAsia="Arial" w:hAnsi="Arial"/>
          <w:sz w:val="18"/>
          <w:szCs w:val="18"/>
          <w:color w:val="0A0A0A"/>
        </w:rPr>
        <w:t>, resulting in an Adjusted Operating Income Margin of 10.6%</w:t>
      </w:r>
      <w:r>
        <w:rPr>
          <w:rFonts w:ascii="Arial" w:cs="Arial" w:eastAsia="Arial" w:hAnsi="Arial"/>
          <w:sz w:val="23"/>
          <w:szCs w:val="23"/>
          <w:color w:val="0A0A0A"/>
          <w:vertAlign w:val="superscript"/>
        </w:rPr>
        <w:t>(2)</w:t>
      </w:r>
      <w:r>
        <w:rPr>
          <w:rFonts w:ascii="Arial" w:cs="Arial" w:eastAsia="Arial" w:hAnsi="Arial"/>
          <w:sz w:val="18"/>
          <w:szCs w:val="18"/>
          <w:color w:val="0A0A0A"/>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A0A0A"/>
        </w:rPr>
        <w:t>“Our fourth quarter results exceeded our initial expectations, and we achieved a higher total revenue and operating margin than we guided to</w:t>
      </w:r>
    </w:p>
    <w:p>
      <w:pPr>
        <w:spacing w:after="0" w:line="3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0A0A0A"/>
        </w:rPr>
        <w:t xml:space="preserve">at the beginning of the quarter,” said Dave Davis, President and Chief Financial Officer. </w:t>
      </w:r>
      <w:r>
        <w:rPr>
          <w:rFonts w:ascii="Arial" w:cs="Arial" w:eastAsia="Arial" w:hAnsi="Arial"/>
          <w:sz w:val="21"/>
          <w:szCs w:val="21"/>
          <w:color w:val="0A0A0A"/>
        </w:rPr>
        <w:t>“</w:t>
      </w:r>
      <w:r>
        <w:rPr>
          <w:rFonts w:ascii="Arial" w:cs="Arial" w:eastAsia="Arial" w:hAnsi="Arial"/>
          <w:sz w:val="18"/>
          <w:szCs w:val="18"/>
          <w:color w:val="0A0A0A"/>
        </w:rPr>
        <w:t>While fourth quarter passenger unit revenue was slightly less than flat year over year, we saw steady improvement throughout the quarter, with December scheduled service TRASM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increasing over 5% year-over-year on almost 8% ASM growth. Total fare for the fourth quarter increased </w:t>
      </w:r>
      <w:r>
        <w:rPr>
          <w:rFonts w:ascii="Arial" w:cs="Arial" w:eastAsia="Arial" w:hAnsi="Arial"/>
          <w:sz w:val="18"/>
          <w:szCs w:val="18"/>
          <w:color w:val="000000"/>
        </w:rPr>
        <w:t>2.2%</w:t>
      </w:r>
      <w:r>
        <w:rPr>
          <w:rFonts w:ascii="Arial" w:cs="Arial" w:eastAsia="Arial" w:hAnsi="Arial"/>
          <w:sz w:val="18"/>
          <w:szCs w:val="18"/>
          <w:color w:val="0A0A0A"/>
        </w:rPr>
        <w:t xml:space="preserve"> and we foresee positive fare</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0A0A0A"/>
        </w:rPr>
        <w:t>trends continuing. In addition to improving revenue trends, our successful cost control efforts continue, with full year 2024 adjusted CASM</w:t>
      </w:r>
      <w:r>
        <w:rPr>
          <w:rFonts w:ascii="Arial" w:cs="Arial" w:eastAsia="Arial" w:hAnsi="Arial"/>
          <w:sz w:val="23"/>
          <w:szCs w:val="23"/>
          <w:color w:val="0A0A0A"/>
          <w:vertAlign w:val="superscript"/>
        </w:rPr>
        <w:t>(4)</w:t>
      </w:r>
      <w:r>
        <w:rPr>
          <w:rFonts w:ascii="Arial" w:cs="Arial" w:eastAsia="Arial" w:hAnsi="Arial"/>
          <w:sz w:val="18"/>
          <w:szCs w:val="18"/>
          <w:color w:val="0A0A0A"/>
        </w:rPr>
        <w:t xml:space="preserve"> increasing only </w:t>
      </w:r>
      <w:r>
        <w:rPr>
          <w:rFonts w:ascii="Arial" w:cs="Arial" w:eastAsia="Arial" w:hAnsi="Arial"/>
          <w:sz w:val="18"/>
          <w:szCs w:val="18"/>
          <w:color w:val="000000"/>
        </w:rPr>
        <w:t>1.3%</w:t>
      </w:r>
      <w:r>
        <w:rPr>
          <w:rFonts w:ascii="Arial" w:cs="Arial" w:eastAsia="Arial" w:hAnsi="Arial"/>
          <w:sz w:val="18"/>
          <w:szCs w:val="18"/>
          <w:color w:val="0A0A0A"/>
        </w:rPr>
        <w:t xml:space="preserve"> over 2023. As Jude noted, we see strong first quarter 2025 bookings on mid-single digit growth in scheduled service</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0A0A0A"/>
        </w:rPr>
        <w:t>ASMs. While we anticipate very rapid growth in our cargo segment in 2025, the timing of the new freighter deliveries should allow us to maximize scheduled service flying in the first quarter, our most profitable quarter.”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52" w:lineRule="exact"/>
        <w:rPr>
          <w:sz w:val="20"/>
          <w:szCs w:val="20"/>
          <w:color w:val="auto"/>
        </w:rPr>
      </w:pPr>
    </w:p>
    <w:p>
      <w:pPr>
        <w:jc w:val="both"/>
        <w:ind w:left="660" w:hanging="328"/>
        <w:spacing w:after="0" w:line="257" w:lineRule="auto"/>
        <w:tabs>
          <w:tab w:leader="none" w:pos="655"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Reached an agreement in principle on the collective bargaining agreement with flight attendants, represented by the International Brotherhood of Teamsters, and a tentative collective bargaining agreement with dispatchers, represented by the Transport Workers Union. The Company expects a ratification vote of both agreements by the end of the first quarter of 2025.</w:t>
      </w:r>
    </w:p>
    <w:p>
      <w:pPr>
        <w:spacing w:after="0" w:line="1" w:lineRule="exact"/>
        <w:rPr>
          <w:rFonts w:ascii="Arial" w:cs="Arial" w:eastAsia="Arial" w:hAnsi="Arial"/>
          <w:sz w:val="18"/>
          <w:szCs w:val="18"/>
          <w:color w:val="0A0A0A"/>
        </w:rPr>
      </w:pPr>
    </w:p>
    <w:p>
      <w:pPr>
        <w:ind w:left="660" w:right="20" w:hanging="328"/>
        <w:spacing w:after="0" w:line="250" w:lineRule="auto"/>
        <w:tabs>
          <w:tab w:leader="none" w:pos="655"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Extended lease return dates on existing leases for three 737-900ERs. Return dates for the four 737-900s currently on lease are expected to be in May, September and November 2025 and November 2026.</w:t>
      </w: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0A0A0A"/>
        </w:rPr>
        <w:t>Appended a new C-tranche to our 2019-1 EETC raising $60 million, which was used in its entirety to pay down a significant portion of the term loan financing five 737-900ER aircraft. These transactions are expected to save approximately $0.8 million in interest expense in 2025.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0A0A0A"/>
        </w:rPr>
        <w:t>Took delivery of one 737-900ER off lease in November 2024. The Company expects that aircraft to enter service in July 2025.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Awarded 2024 Low Cost Carrier of the Year award by CAPA-Centre for Aviation.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Debuted Sun Country’s first custom-designed aircraft livery in celebration of our partnership with Minnesota Gopher Athletics.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3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0A0A0A"/>
        </w:rPr>
        <w:t xml:space="preserve">System block hours flown during the fourth quarter of 2024 grew by </w:t>
      </w:r>
      <w:r>
        <w:rPr>
          <w:rFonts w:ascii="Arial" w:cs="Arial" w:eastAsia="Arial" w:hAnsi="Arial"/>
          <w:sz w:val="18"/>
          <w:szCs w:val="18"/>
          <w:color w:val="000000"/>
        </w:rPr>
        <w:t>2.7%</w:t>
      </w:r>
      <w:r>
        <w:rPr>
          <w:rFonts w:ascii="Arial" w:cs="Arial" w:eastAsia="Arial" w:hAnsi="Arial"/>
          <w:sz w:val="18"/>
          <w:szCs w:val="18"/>
          <w:color w:val="0A0A0A"/>
        </w:rPr>
        <w:t xml:space="preserve"> year-over-year. All of this growth was allocated to the passenger segment, resulting in a </w:t>
      </w:r>
      <w:r>
        <w:rPr>
          <w:rFonts w:ascii="Arial" w:cs="Arial" w:eastAsia="Arial" w:hAnsi="Arial"/>
          <w:sz w:val="18"/>
          <w:szCs w:val="18"/>
          <w:color w:val="000000"/>
        </w:rPr>
        <w:t>3.5%</w:t>
      </w:r>
      <w:r>
        <w:rPr>
          <w:rFonts w:ascii="Arial" w:cs="Arial" w:eastAsia="Arial" w:hAnsi="Arial"/>
          <w:sz w:val="18"/>
          <w:szCs w:val="18"/>
          <w:color w:val="0A0A0A"/>
        </w:rPr>
        <w:t xml:space="preserve"> increase in scheduled service ASMs and a </w:t>
      </w:r>
      <w:r>
        <w:rPr>
          <w:rFonts w:ascii="Arial" w:cs="Arial" w:eastAsia="Arial" w:hAnsi="Arial"/>
          <w:sz w:val="18"/>
          <w:szCs w:val="18"/>
          <w:color w:val="000000"/>
        </w:rPr>
        <w:t>5.0% increase in charter block hours</w:t>
      </w:r>
      <w:r>
        <w:rPr>
          <w:rFonts w:ascii="Arial" w:cs="Arial" w:eastAsia="Arial" w:hAnsi="Arial"/>
          <w:sz w:val="18"/>
          <w:szCs w:val="18"/>
          <w:color w:val="0A0A0A"/>
        </w:rPr>
        <w:t xml:space="preserve">. Cargo block hours declined in the fourth quarter by </w:t>
      </w:r>
      <w:r>
        <w:rPr>
          <w:rFonts w:ascii="Arial" w:cs="Arial" w:eastAsia="Arial" w:hAnsi="Arial"/>
          <w:sz w:val="18"/>
          <w:szCs w:val="18"/>
          <w:color w:val="000000"/>
        </w:rPr>
        <w:t>2.5%</w:t>
      </w:r>
      <w:r>
        <w:rPr>
          <w:rFonts w:ascii="Arial" w:cs="Arial" w:eastAsia="Arial" w:hAnsi="Arial"/>
          <w:sz w:val="18"/>
          <w:szCs w:val="18"/>
          <w:color w:val="0A0A0A"/>
        </w:rPr>
        <w:t xml:space="preserve"> year-over-year due to normal quarterly fluctuations in the level of flying. For the first quarter of 2025, we expect total block hour growth of to be between 7% and 9%, with Scheduled Service ASMs growing by slightly more than 7% over first quarter 2024.</w:t>
      </w:r>
    </w:p>
    <w:p>
      <w:pPr>
        <w:spacing w:after="0"/>
        <w:rPr>
          <w:sz w:val="20"/>
          <w:szCs w:val="20"/>
          <w:color w:val="auto"/>
        </w:rPr>
      </w:pPr>
      <w:r>
        <w:rPr>
          <w:rFonts w:ascii="Arial" w:cs="Arial" w:eastAsia="Arial" w:hAnsi="Arial"/>
          <w:sz w:val="18"/>
          <w:szCs w:val="18"/>
          <w:color w:val="0A0A0A"/>
        </w:rPr>
        <w:t>Cargo flying is expected to increase substantially from the second quarter of 2025 onward.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5" w:lineRule="exact"/>
        <w:rPr>
          <w:sz w:val="20"/>
          <w:szCs w:val="20"/>
          <w:color w:val="auto"/>
        </w:rPr>
      </w:pPr>
    </w:p>
    <w:p>
      <w:pPr>
        <w:spacing w:after="0" w:line="247" w:lineRule="auto"/>
        <w:rPr>
          <w:sz w:val="20"/>
          <w:szCs w:val="20"/>
          <w:color w:val="auto"/>
        </w:rPr>
      </w:pPr>
      <w:r>
        <w:rPr>
          <w:rFonts w:ascii="Arial" w:cs="Arial" w:eastAsia="Arial" w:hAnsi="Arial"/>
          <w:sz w:val="18"/>
          <w:szCs w:val="18"/>
          <w:color w:val="0A0A0A"/>
        </w:rPr>
        <w:t>The passenger market improved throughout the fourth quarter, which resulted in scheduled service TRASM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declining by </w:t>
      </w:r>
      <w:r>
        <w:rPr>
          <w:rFonts w:ascii="Arial" w:cs="Arial" w:eastAsia="Arial" w:hAnsi="Arial"/>
          <w:sz w:val="18"/>
          <w:szCs w:val="18"/>
          <w:color w:val="000000"/>
        </w:rPr>
        <w:t>1.0% on a 3.5%</w:t>
      </w:r>
      <w:r>
        <w:rPr>
          <w:rFonts w:ascii="Arial" w:cs="Arial" w:eastAsia="Arial" w:hAnsi="Arial"/>
          <w:sz w:val="18"/>
          <w:szCs w:val="18"/>
          <w:color w:val="0A0A0A"/>
        </w:rPr>
        <w:t xml:space="preserve"> increase in scheduled service ASMs. December scheduled service TRASM</w:t>
      </w:r>
      <w:r>
        <w:rPr>
          <w:rFonts w:ascii="Arial" w:cs="Arial" w:eastAsia="Arial" w:hAnsi="Arial"/>
          <w:sz w:val="23"/>
          <w:szCs w:val="23"/>
          <w:color w:val="0A0A0A"/>
          <w:vertAlign w:val="superscript"/>
        </w:rPr>
        <w:t>(3)</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170" w:right="33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18"/>
          <w:szCs w:val="18"/>
          <w:color w:val="0A0A0A"/>
        </w:rPr>
        <w:t xml:space="preserve">increased by over 5%. The Company reported total revenue of </w:t>
      </w:r>
      <w:r>
        <w:rPr>
          <w:rFonts w:ascii="Arial" w:cs="Arial" w:eastAsia="Arial" w:hAnsi="Arial"/>
          <w:sz w:val="18"/>
          <w:szCs w:val="18"/>
          <w:color w:val="000000"/>
        </w:rPr>
        <w:t>$260.4</w:t>
      </w:r>
      <w:r>
        <w:rPr>
          <w:rFonts w:ascii="Arial" w:cs="Arial" w:eastAsia="Arial" w:hAnsi="Arial"/>
          <w:sz w:val="18"/>
          <w:szCs w:val="18"/>
          <w:color w:val="0A0A0A"/>
        </w:rPr>
        <w:t xml:space="preserve"> million for the fourth quarter, which was </w:t>
      </w:r>
      <w:r>
        <w:rPr>
          <w:rFonts w:ascii="Arial" w:cs="Arial" w:eastAsia="Arial" w:hAnsi="Arial"/>
          <w:sz w:val="18"/>
          <w:szCs w:val="18"/>
          <w:color w:val="000000"/>
        </w:rPr>
        <w:t>6.1%</w:t>
      </w:r>
      <w:r>
        <w:rPr>
          <w:rFonts w:ascii="Arial" w:cs="Arial" w:eastAsia="Arial" w:hAnsi="Arial"/>
          <w:sz w:val="18"/>
          <w:szCs w:val="18"/>
          <w:color w:val="0A0A0A"/>
        </w:rPr>
        <w:t xml:space="preserve"> greater than the fourth quarter of 2023 and the highest fourth quarter on record</w:t>
      </w:r>
      <w:r>
        <w:rPr>
          <w:rFonts w:ascii="Arial" w:cs="Arial" w:eastAsia="Arial" w:hAnsi="Arial"/>
          <w:sz w:val="23"/>
          <w:szCs w:val="23"/>
          <w:color w:val="0A0A0A"/>
          <w:vertAlign w:val="superscript"/>
        </w:rPr>
        <w:t>(1)</w:t>
      </w:r>
      <w:r>
        <w:rPr>
          <w:rFonts w:ascii="Arial" w:cs="Arial" w:eastAsia="Arial" w:hAnsi="Arial"/>
          <w:sz w:val="18"/>
          <w:szCs w:val="18"/>
          <w:color w:val="0A0A0A"/>
        </w:rPr>
        <w:t xml:space="preserve">. </w:t>
      </w:r>
      <w:r>
        <w:rPr>
          <w:rFonts w:ascii="Arial" w:cs="Arial" w:eastAsia="Arial" w:hAnsi="Arial"/>
          <w:sz w:val="18"/>
          <w:szCs w:val="18"/>
          <w:color w:val="000000"/>
        </w:rPr>
        <w:t>The Company’s</w:t>
      </w:r>
      <w:r>
        <w:rPr>
          <w:rFonts w:ascii="Arial" w:cs="Arial" w:eastAsia="Arial" w:hAnsi="Arial"/>
          <w:sz w:val="18"/>
          <w:szCs w:val="18"/>
          <w:color w:val="0A0A0A"/>
        </w:rPr>
        <w:t xml:space="preserve"> fourth </w:t>
      </w:r>
      <w:r>
        <w:rPr>
          <w:rFonts w:ascii="Arial" w:cs="Arial" w:eastAsia="Arial" w:hAnsi="Arial"/>
          <w:sz w:val="18"/>
          <w:szCs w:val="18"/>
          <w:color w:val="000000"/>
        </w:rPr>
        <w:t>quarter charter service revenue was $48.0 million, an</w:t>
      </w:r>
      <w:r>
        <w:rPr>
          <w:rFonts w:ascii="Arial" w:cs="Arial" w:eastAsia="Arial" w:hAnsi="Arial"/>
          <w:sz w:val="18"/>
          <w:szCs w:val="18"/>
          <w:color w:val="0A0A0A"/>
        </w:rPr>
        <w:t xml:space="preserve"> </w:t>
      </w:r>
      <w:r>
        <w:rPr>
          <w:rFonts w:ascii="Arial" w:cs="Arial" w:eastAsia="Arial" w:hAnsi="Arial"/>
          <w:sz w:val="18"/>
          <w:szCs w:val="18"/>
          <w:color w:val="000000"/>
        </w:rPr>
        <w:t>increase of 2.3% year-over-year, despite the impact of lower fuel cost reimbursements from our customers.</w:t>
      </w:r>
    </w:p>
    <w:p>
      <w:pPr>
        <w:spacing w:after="0" w:line="1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fourth quarter of 2024, cargo revenue was the highest fourth quarter on record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at $28.6 million, a 13.1% increase versus the fourth quarter of 2023 on a 2.5% decline in cargo block hours. This improvement was primarily driven by the annual rate escalation which went into effect in mid-December 2023 and the first phase of the new Amazon contract rate increases which went into effect in June 2024.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Fourth </w:t>
      </w:r>
      <w:r>
        <w:rPr>
          <w:rFonts w:ascii="Arial" w:cs="Arial" w:eastAsia="Arial" w:hAnsi="Arial"/>
          <w:sz w:val="18"/>
          <w:szCs w:val="18"/>
          <w:color w:val="0A0A0A"/>
        </w:rPr>
        <w:t>quarter CASM fell</w:t>
      </w:r>
      <w:r>
        <w:rPr>
          <w:rFonts w:ascii="Arial" w:cs="Arial" w:eastAsia="Arial" w:hAnsi="Arial"/>
          <w:sz w:val="18"/>
          <w:szCs w:val="18"/>
          <w:color w:val="auto"/>
        </w:rPr>
        <w:t xml:space="preserve"> 0.7% </w:t>
      </w:r>
      <w:r>
        <w:rPr>
          <w:rFonts w:ascii="Arial" w:cs="Arial" w:eastAsia="Arial" w:hAnsi="Arial"/>
          <w:sz w:val="18"/>
          <w:szCs w:val="18"/>
          <w:color w:val="0A0A0A"/>
        </w:rPr>
        <w:t>while adjusted CASM</w:t>
      </w:r>
      <w:r>
        <w:rPr>
          <w:rFonts w:ascii="Arial" w:cs="Arial" w:eastAsia="Arial" w:hAnsi="Arial"/>
          <w:sz w:val="23"/>
          <w:szCs w:val="23"/>
          <w:color w:val="0A0A0A"/>
          <w:vertAlign w:val="superscript"/>
        </w:rPr>
        <w:t>(4)</w:t>
      </w:r>
      <w:r>
        <w:rPr>
          <w:rFonts w:ascii="Arial" w:cs="Arial" w:eastAsia="Arial" w:hAnsi="Arial"/>
          <w:sz w:val="18"/>
          <w:szCs w:val="18"/>
          <w:color w:val="auto"/>
        </w:rPr>
        <w:t xml:space="preserve"> </w:t>
      </w:r>
      <w:r>
        <w:rPr>
          <w:rFonts w:ascii="Arial" w:cs="Arial" w:eastAsia="Arial" w:hAnsi="Arial"/>
          <w:sz w:val="18"/>
          <w:szCs w:val="18"/>
          <w:color w:val="0A0A0A"/>
        </w:rPr>
        <w:t>was up</w:t>
      </w:r>
      <w:r>
        <w:rPr>
          <w:rFonts w:ascii="Arial" w:cs="Arial" w:eastAsia="Arial" w:hAnsi="Arial"/>
          <w:sz w:val="18"/>
          <w:szCs w:val="18"/>
          <w:color w:val="auto"/>
        </w:rPr>
        <w:t xml:space="preserve"> 7.6% year-over-year on lower ASM growth than previous quarters. T</w:t>
      </w:r>
      <w:r>
        <w:rPr>
          <w:rFonts w:ascii="Arial" w:cs="Arial" w:eastAsia="Arial" w:hAnsi="Arial"/>
          <w:sz w:val="18"/>
          <w:szCs w:val="18"/>
          <w:color w:val="0A0A0A"/>
        </w:rPr>
        <w:t>otal</w:t>
      </w:r>
      <w:r>
        <w:rPr>
          <w:rFonts w:ascii="Arial" w:cs="Arial" w:eastAsia="Arial" w:hAnsi="Arial"/>
          <w:sz w:val="18"/>
          <w:szCs w:val="18"/>
          <w:color w:val="auto"/>
        </w:rPr>
        <w:t xml:space="preserve"> </w:t>
      </w:r>
      <w:r>
        <w:rPr>
          <w:rFonts w:ascii="Arial" w:cs="Arial" w:eastAsia="Arial" w:hAnsi="Arial"/>
          <w:sz w:val="18"/>
          <w:szCs w:val="18"/>
          <w:color w:val="0A0A0A"/>
        </w:rPr>
        <w:t xml:space="preserve">GAAP operating expenses increased </w:t>
      </w:r>
      <w:r>
        <w:rPr>
          <w:rFonts w:ascii="Arial" w:cs="Arial" w:eastAsia="Arial" w:hAnsi="Arial"/>
          <w:sz w:val="18"/>
          <w:szCs w:val="18"/>
          <w:color w:val="000000"/>
        </w:rPr>
        <w:t>2.6%</w:t>
      </w:r>
      <w:r>
        <w:rPr>
          <w:rFonts w:ascii="Arial" w:cs="Arial" w:eastAsia="Arial" w:hAnsi="Arial"/>
          <w:sz w:val="18"/>
          <w:szCs w:val="18"/>
          <w:color w:val="0A0A0A"/>
        </w:rPr>
        <w:t xml:space="preserve"> year-over-year, on a </w:t>
      </w:r>
      <w:r>
        <w:rPr>
          <w:rFonts w:ascii="Arial" w:cs="Arial" w:eastAsia="Arial" w:hAnsi="Arial"/>
          <w:sz w:val="18"/>
          <w:szCs w:val="18"/>
          <w:color w:val="000000"/>
        </w:rPr>
        <w:t>2.7%</w:t>
      </w:r>
      <w:r>
        <w:rPr>
          <w:rFonts w:ascii="Arial" w:cs="Arial" w:eastAsia="Arial" w:hAnsi="Arial"/>
          <w:sz w:val="18"/>
          <w:szCs w:val="18"/>
          <w:color w:val="0A0A0A"/>
        </w:rPr>
        <w:t xml:space="preserve"> increase in total block hours. Other non-fuel expenses of note include maintenance, which increased </w:t>
      </w:r>
      <w:r>
        <w:rPr>
          <w:rFonts w:ascii="Arial" w:cs="Arial" w:eastAsia="Arial" w:hAnsi="Arial"/>
          <w:sz w:val="18"/>
          <w:szCs w:val="18"/>
          <w:color w:val="000000"/>
        </w:rPr>
        <w:t>14.5%</w:t>
      </w:r>
      <w:r>
        <w:rPr>
          <w:rFonts w:ascii="Arial" w:cs="Arial" w:eastAsia="Arial" w:hAnsi="Arial"/>
          <w:sz w:val="18"/>
          <w:szCs w:val="18"/>
          <w:color w:val="0A0A0A"/>
        </w:rPr>
        <w:t xml:space="preserve">, on an increase in maintenance activity. Landing fees and airport rent increased </w:t>
      </w:r>
      <w:r>
        <w:rPr>
          <w:rFonts w:ascii="Arial" w:cs="Arial" w:eastAsia="Arial" w:hAnsi="Arial"/>
          <w:sz w:val="18"/>
          <w:szCs w:val="18"/>
          <w:color w:val="000000"/>
        </w:rPr>
        <w:t>18.4%</w:t>
      </w:r>
      <w:r>
        <w:rPr>
          <w:rFonts w:ascii="Arial" w:cs="Arial" w:eastAsia="Arial" w:hAnsi="Arial"/>
          <w:sz w:val="18"/>
          <w:szCs w:val="18"/>
          <w:color w:val="0A0A0A"/>
        </w:rPr>
        <w:t xml:space="preserve"> due to the expiration of COVID assistance that airports had used to limit rate increases in the prior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$205.6 million on December 31, 2024, while the Company’s net debt</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$438.2 million.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 2024</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 2024</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0"/>
        </w:trPr>
        <w:tc>
          <w:tcPr>
            <w:tcW w:w="662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December 31, 2024, the Company had 45 aircraft in its passenger service fleet, operated 12 freighter aircraft in its cargo operation and had six aircraft that are currently on lease to unaffiliated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First Quarter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Q1 2025</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Q1 2024</w:t>
            </w:r>
          </w:p>
        </w:tc>
      </w:tr>
      <w:tr>
        <w:trPr>
          <w:trHeight w:val="224"/>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$330 to $340</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6% to 9%</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$2.76</w:t>
            </w:r>
          </w:p>
        </w:tc>
        <w:tc>
          <w:tcPr>
            <w:tcW w:w="2340" w:type="dxa"/>
            <w:vAlign w:val="bottom"/>
          </w:tcPr>
          <w:p>
            <w:pPr>
              <w:jc w:val="center"/>
              <w:spacing w:after="0"/>
              <w:rPr>
                <w:sz w:val="20"/>
                <w:szCs w:val="20"/>
                <w:color w:val="auto"/>
              </w:rPr>
            </w:pPr>
            <w:r>
              <w:rPr>
                <w:rFonts w:ascii="Arial" w:cs="Arial" w:eastAsia="Arial" w:hAnsi="Arial"/>
                <w:sz w:val="18"/>
                <w:szCs w:val="18"/>
                <w:color w:val="0A0A0A"/>
                <w:w w:val="99"/>
              </w:rPr>
              <w:t>(8)%</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17% to 21%</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(1)pp to 3pp</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41 to 42</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7% to 9%</w:t>
            </w:r>
          </w:p>
        </w:tc>
      </w:tr>
    </w:tbl>
    <w:p>
      <w:pPr>
        <w:spacing w:after="0" w:line="200" w:lineRule="exact"/>
        <w:rPr>
          <w:sz w:val="20"/>
          <w:szCs w:val="20"/>
          <w:color w:val="auto"/>
        </w:rPr>
      </w:pP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282"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0A0A0A"/>
        </w:rPr>
        <w:t xml:space="preserve">Sun Country Airlines will host a conference call to discuss its fourth quarter and full year 2024 results at 8:30 a.m. Eastern Time on Tuesday, February 4, 2025.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r>
        <w:rPr>
          <w:rFonts w:ascii="Arial" w:cs="Arial" w:eastAsia="Arial" w:hAnsi="Arial"/>
          <w:sz w:val="18"/>
          <w:szCs w:val="18"/>
          <w:color w:val="026DCE"/>
        </w:rPr>
        <w:t xml:space="preserve"> </w:t>
      </w:r>
      <w:r>
        <w:rPr>
          <w:rFonts w:ascii="Arial" w:cs="Arial" w:eastAsia="Arial" w:hAnsi="Arial"/>
          <w:sz w:val="18"/>
          <w:szCs w:val="18"/>
          <w:color w:val="000000"/>
        </w:rPr>
        <w:t>hour after the call.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A0A0A"/>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ectPr>
          <w:pgSz w:w="11900" w:h="16838" w:orient="portrait"/>
          <w:cols w:equalWidth="0" w:num="1">
            <w:col w:w="11240"/>
          </w:cols>
          <w:pgMar w:left="320" w:top="1282" w:right="339" w:bottom="1440" w:gutter="0" w:footer="0" w:header="0"/>
        </w:sectPr>
      </w:pPr>
    </w:p>
    <w:p>
      <w:pPr>
        <w:spacing w:after="0" w:line="63"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2 -</w:t>
      </w:r>
    </w:p>
    <w:p>
      <w:pPr>
        <w:spacing w:after="0" w:line="252"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Records began in January 2017</w:t>
      </w:r>
    </w:p>
    <w:p>
      <w:pPr>
        <w:spacing w:after="0" w:line="50"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0A0A0A"/>
        </w:rPr>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spacing w:after="0"/>
        <w:rPr>
          <w:sz w:val="20"/>
          <w:szCs w:val="20"/>
          <w:color w:val="auto"/>
        </w:rPr>
      </w:pPr>
      <w:r>
        <w:rPr>
          <w:rFonts w:ascii="Arial" w:cs="Arial" w:eastAsia="Arial" w:hAnsi="Arial"/>
          <w:sz w:val="18"/>
          <w:szCs w:val="18"/>
          <w:color w:val="auto"/>
        </w:rPr>
        <w:t>Scheduled Service TRASM includes Schedule Service revenue, Ancillary revenue, and ASM generating revenue classified within</w:t>
      </w:r>
    </w:p>
    <w:p>
      <w:pPr>
        <w:spacing w:after="0" w:line="14" w:lineRule="exact"/>
        <w:rPr>
          <w:sz w:val="20"/>
          <w:szCs w:val="20"/>
          <w:color w:val="auto"/>
        </w:rPr>
      </w:pPr>
    </w:p>
    <w:p>
      <w:pPr>
        <w:jc w:val="both"/>
        <w:ind w:right="120"/>
        <w:spacing w:after="0" w:line="226" w:lineRule="auto"/>
        <w:rPr>
          <w:sz w:val="20"/>
          <w:szCs w:val="20"/>
          <w:color w:val="auto"/>
        </w:rPr>
      </w:pPr>
      <w:r>
        <w:rPr>
          <w:rFonts w:ascii="Arial" w:cs="Arial" w:eastAsia="Arial" w:hAnsi="Arial"/>
          <w:sz w:val="18"/>
          <w:szCs w:val="18"/>
          <w:color w:val="auto"/>
        </w:rPr>
        <w:t>Other Revenue on the Consolidated Statement of Operations / Scheduled Service ASMs. Other Revenue includes rental revenue of approximately $13.1 million and $6.6 million associated with certain assets that generate lease income in the three months ended</w:t>
      </w:r>
    </w:p>
    <w:p>
      <w:pPr>
        <w:spacing w:after="0" w:line="2"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color w:val="auto"/>
        </w:rPr>
        <w:t>December 31, 2024 and 2023, respectively and $42.3 million and $18.5 million associated with certain assets that generate lease income in the year ended December 31, 2024 and 2023, respectively, which is not included.</w:t>
      </w:r>
    </w:p>
    <w:p>
      <w:pPr>
        <w:spacing w:after="0" w:line="253"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 xml:space="preserve">Adjusted CASM is a metric that uses a non-GAAP measure </w:t>
      </w:r>
      <w:r>
        <w:rPr>
          <w:rFonts w:ascii="Arial" w:cs="Arial" w:eastAsia="Arial" w:hAnsi="Arial"/>
          <w:sz w:val="18"/>
          <w:szCs w:val="18"/>
          <w:color w:val="0A0A0A"/>
        </w:rPr>
        <w:t>derived from CASM by excluding fuel costs, non-cash management stock</w:t>
      </w:r>
      <w:r>
        <w:rPr>
          <w:rFonts w:ascii="Arial" w:cs="Arial" w:eastAsia="Arial" w:hAnsi="Arial"/>
          <w:sz w:val="18"/>
          <w:szCs w:val="18"/>
          <w:color w:val="auto"/>
        </w:rPr>
        <w:t xml:space="preserve"> </w:t>
      </w:r>
      <w:r>
        <w:rPr>
          <w:rFonts w:ascii="Arial" w:cs="Arial" w:eastAsia="Arial" w:hAnsi="Arial"/>
          <w:sz w:val="18"/>
          <w:szCs w:val="18"/>
          <w:color w:val="0A0A0A"/>
        </w:rPr>
        <w:t xml:space="preserve">compensation expense, costs arising from its cargo operations, </w:t>
      </w:r>
      <w:r>
        <w:rPr>
          <w:rFonts w:ascii="Arial" w:cs="Arial" w:eastAsia="Arial" w:hAnsi="Arial"/>
          <w:sz w:val="18"/>
          <w:szCs w:val="18"/>
          <w:color w:val="000000"/>
        </w:rPr>
        <w:t>depreciation and amortization recognized on certain assets that</w:t>
      </w:r>
      <w:r>
        <w:rPr>
          <w:rFonts w:ascii="Arial" w:cs="Arial" w:eastAsia="Arial" w:hAnsi="Arial"/>
          <w:sz w:val="18"/>
          <w:szCs w:val="18"/>
          <w:color w:val="0A0A0A"/>
        </w:rPr>
        <w:t xml:space="preserve"> </w:t>
      </w:r>
      <w:r>
        <w:rPr>
          <w:rFonts w:ascii="Arial" w:cs="Arial" w:eastAsia="Arial" w:hAnsi="Arial"/>
          <w:sz w:val="18"/>
          <w:szCs w:val="18"/>
          <w:color w:val="000000"/>
        </w:rPr>
        <w:t xml:space="preserve">generate lease income, </w:t>
      </w:r>
      <w:r>
        <w:rPr>
          <w:rFonts w:ascii="Arial" w:cs="Arial" w:eastAsia="Arial" w:hAnsi="Arial"/>
          <w:sz w:val="18"/>
          <w:szCs w:val="18"/>
          <w:color w:val="0A0A0A"/>
        </w:rPr>
        <w:t>certain commissions, and other costs of selling its vacations product from this measure. See table titled</w:t>
      </w:r>
      <w:r>
        <w:rPr>
          <w:rFonts w:ascii="Arial" w:cs="Arial" w:eastAsia="Arial" w:hAnsi="Arial"/>
          <w:sz w:val="18"/>
          <w:szCs w:val="18"/>
          <w:color w:val="000000"/>
        </w:rPr>
        <w:t xml:space="preserve"> </w:t>
      </w:r>
      <w:r>
        <w:rPr>
          <w:rFonts w:ascii="Arial" w:cs="Arial" w:eastAsia="Arial" w:hAnsi="Arial"/>
          <w:sz w:val="18"/>
          <w:szCs w:val="18"/>
          <w:color w:val="0A0A0A"/>
        </w:rPr>
        <w:t>“</w:t>
      </w:r>
      <w:r>
        <w:rPr>
          <w:rFonts w:ascii="Arial" w:cs="Arial" w:eastAsia="Arial" w:hAnsi="Arial"/>
          <w:sz w:val="18"/>
          <w:szCs w:val="18"/>
          <w:color w:val="000000"/>
        </w:rPr>
        <w:t>Reconciliation of CASM to Adjusted CASM”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200" w:lineRule="exact"/>
        <w:rPr>
          <w:sz w:val="20"/>
          <w:szCs w:val="20"/>
          <w:color w:val="auto"/>
        </w:rPr>
      </w:pPr>
    </w:p>
    <w:p>
      <w:pPr>
        <w:sectPr>
          <w:pgSz w:w="11900" w:h="16838" w:orient="portrait"/>
          <w:cols w:equalWidth="0" w:num="2">
            <w:col w:w="240" w:space="240"/>
            <w:col w:w="10760"/>
          </w:cols>
          <w:pgMar w:left="320" w:top="1282"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651-681-4810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A0A0A"/>
        </w:rPr>
        <w:t>Wendy Burt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651-900-8400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40"/>
          </w:cols>
          <w:pgMar w:left="320" w:top="1282"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This press release contains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83"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6"/>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6"/>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6"/>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6"/>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309"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shares and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gridSpan w:val="5"/>
          </w:tcPr>
          <w:p>
            <w:pPr>
              <w:ind w:left="320"/>
              <w:spacing w:after="0"/>
              <w:rPr>
                <w:sz w:val="20"/>
                <w:szCs w:val="20"/>
                <w:color w:val="auto"/>
              </w:rPr>
            </w:pPr>
            <w:r>
              <w:rPr>
                <w:rFonts w:ascii="Arial" w:cs="Arial" w:eastAsia="Arial" w:hAnsi="Arial"/>
                <w:sz w:val="14"/>
                <w:szCs w:val="14"/>
                <w:b w:val="1"/>
                <w:bCs w:val="1"/>
                <w:color w:val="0A0A0A"/>
              </w:rPr>
              <w:t>Three Months Ended December 31,</w:t>
            </w:r>
          </w:p>
        </w:tc>
        <w:tc>
          <w:tcPr>
            <w:tcW w:w="1880" w:type="dxa"/>
            <w:vAlign w:val="bottom"/>
          </w:tcPr>
          <w:p>
            <w:pPr>
              <w:spacing w:after="0"/>
              <w:rPr>
                <w:sz w:val="17"/>
                <w:szCs w:val="17"/>
                <w:color w:val="auto"/>
              </w:rPr>
            </w:pPr>
          </w:p>
        </w:tc>
      </w:tr>
      <w:tr>
        <w:trPr>
          <w:trHeight w:val="203"/>
        </w:trPr>
        <w:tc>
          <w:tcPr>
            <w:tcW w:w="5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2023</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96,077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93,254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3.0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46,879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2.3</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70,500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1.0</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210,633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28,615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25,297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13.1</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16,527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9,613</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71.9</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245,543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6.1</w:t>
            </w:r>
          </w:p>
        </w:tc>
      </w:tr>
      <w:tr>
        <w:trPr>
          <w:trHeight w:val="250"/>
        </w:trPr>
        <w:tc>
          <w:tcPr>
            <w:tcW w:w="5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60,840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84,259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71,750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Maintenance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16,278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Sales and Marketing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8,100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Depreciation and Amortization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23,575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Ground Handling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9,207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Landing Fees and Airport 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12,768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Operating,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25,901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234,344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228,419</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2.6</w:t>
            </w: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Operating Income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17,124</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52.2</w:t>
            </w:r>
          </w:p>
        </w:tc>
      </w:tr>
      <w:tr>
        <w:trPr>
          <w:trHeight w:val="196"/>
        </w:trPr>
        <w:tc>
          <w:tcPr>
            <w:tcW w:w="5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Non-operating Income (Expense), net: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Income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2,414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Interest Expense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(11,363)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net</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(516)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Non-operating Expense, net</w:t>
            </w: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A0A0A"/>
              </w:rPr>
              <w:t>(9,465)</w:t>
            </w:r>
          </w:p>
        </w:tc>
        <w:tc>
          <w:tcPr>
            <w:tcW w:w="8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3"/>
        </w:trPr>
        <w:tc>
          <w:tcPr>
            <w:tcW w:w="53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r>
      <w:tr>
        <w:trPr>
          <w:trHeight w:val="223"/>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Income before Income Tax</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121.0</w:t>
            </w:r>
          </w:p>
        </w:tc>
      </w:tr>
      <w:tr>
        <w:trPr>
          <w:trHeight w:val="22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Income Tax Expense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2,014</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3"/>
        </w:trPr>
        <w:tc>
          <w:tcPr>
            <w:tcW w:w="536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138.0</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5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0.10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0.10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Shares used for computation: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53,031,997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53,892,797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55,251,373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56,270,891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20"/>
          </w:cols>
          <w:pgMar w:left="320" w:top="1440" w:right="359" w:bottom="1440" w:gutter="0" w:footer="0" w:header="0"/>
        </w:sectPr>
      </w:pPr>
    </w:p>
    <w:bookmarkStart w:id="9" w:name="page10"/>
    <w:bookmarkEnd w:id="9"/>
    <w:p>
      <w:pPr>
        <w:ind w:lef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620"/>
              <w:spacing w:after="0"/>
              <w:rPr>
                <w:sz w:val="20"/>
                <w:szCs w:val="20"/>
                <w:color w:val="auto"/>
              </w:rPr>
            </w:pPr>
            <w:r>
              <w:rPr>
                <w:rFonts w:ascii="Arial" w:cs="Arial" w:eastAsia="Arial" w:hAnsi="Arial"/>
                <w:sz w:val="14"/>
                <w:szCs w:val="14"/>
                <w:b w:val="1"/>
                <w:bCs w:val="1"/>
                <w:color w:val="0A0A0A"/>
              </w:rPr>
              <w:t>Year Ended December 31,</w:t>
            </w:r>
          </w:p>
        </w:tc>
        <w:tc>
          <w:tcPr>
            <w:tcW w:w="1880" w:type="dxa"/>
            <w:vAlign w:val="bottom"/>
          </w:tcPr>
          <w:p>
            <w:pPr>
              <w:spacing w:after="0"/>
              <w:rPr>
                <w:sz w:val="17"/>
                <w:szCs w:val="17"/>
                <w:color w:val="auto"/>
              </w:rPr>
            </w:pPr>
          </w:p>
        </w:tc>
      </w:tr>
      <w:tr>
        <w:trPr>
          <w:trHeight w:val="203"/>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2023</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409,133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453,862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(9.9)</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190,128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3.6</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307,909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276,133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11.5</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920,123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(0.7)</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107,174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99,735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7.5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54,478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29,762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83.0</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1,049,620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2.5</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246,669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(3.9)</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326,775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295,640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2,281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68,770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60,588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34,105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94,989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88,151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7.8</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37,506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59,549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49,615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107,565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922,120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5.2</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127,500</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(16.9)</w:t>
            </w:r>
          </w:p>
        </w:tc>
      </w:t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10,180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(23.1)</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(42,634)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(887)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(33,341)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03"/>
        </w:trPr>
        <w:tc>
          <w:tcPr>
            <w:tcW w:w="53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94,159</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21,978</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1.30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52,908,322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55,507,144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55,055,897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58,524,652</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33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29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three months and year ended December 31,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40" w:type="dxa"/>
            <w:vAlign w:val="bottom"/>
            <w:gridSpan w:val="3"/>
          </w:tcPr>
          <w:p>
            <w:pPr>
              <w:jc w:val="right"/>
              <w:ind w:right="851"/>
              <w:spacing w:after="0"/>
              <w:rPr>
                <w:sz w:val="20"/>
                <w:szCs w:val="20"/>
                <w:color w:val="auto"/>
              </w:rPr>
            </w:pPr>
            <w:r>
              <w:rPr>
                <w:rFonts w:ascii="Arial" w:cs="Arial" w:eastAsia="Arial" w:hAnsi="Arial"/>
                <w:sz w:val="14"/>
                <w:szCs w:val="14"/>
                <w:b w:val="1"/>
                <w:bCs w:val="1"/>
                <w:color w:val="0A0A0A"/>
              </w:rPr>
              <w:t>Three Months Ended December 31,</w:t>
            </w:r>
          </w:p>
        </w:tc>
        <w:tc>
          <w:tcPr>
            <w:tcW w:w="1660" w:type="dxa"/>
            <w:vAlign w:val="bottom"/>
          </w:tcPr>
          <w:p>
            <w:pPr>
              <w:spacing w:after="0"/>
              <w:rPr>
                <w:sz w:val="17"/>
                <w:szCs w:val="17"/>
                <w:color w:val="auto"/>
              </w:rPr>
            </w:pPr>
          </w:p>
        </w:tc>
      </w:tr>
      <w:tr>
        <w:trPr>
          <w:trHeight w:val="204"/>
        </w:trPr>
        <w:tc>
          <w:tcPr>
            <w:tcW w:w="4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2023</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1,312,728</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1,316,877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(0.3)</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1,608,432</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1,554,043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81.6%</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84.7%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1,046,510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1,047,127</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6,930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6,688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3.6</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21,180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10.73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(1.0)</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89.06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68.07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67.33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156.39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16,996</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16,404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3.6</w:t>
            </w:r>
          </w:p>
        </w:tc>
      </w:tr>
      <w:tr>
        <w:trPr>
          <w:trHeight w:val="270"/>
        </w:trPr>
        <w:tc>
          <w:tcPr>
            <w:tcW w:w="4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2,571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5,420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5,160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5.0</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333,399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324,222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3,109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3,237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(4.0)</w:t>
            </w:r>
          </w:p>
        </w:tc>
      </w:tr>
      <w:tr>
        <w:trPr>
          <w:trHeight w:val="270"/>
        </w:trPr>
        <w:tc>
          <w:tcPr>
            <w:tcW w:w="4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3,366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8,736</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8,960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(2.5)</w:t>
            </w:r>
          </w:p>
        </w:tc>
      </w:tr>
      <w:tr>
        <w:trPr>
          <w:trHeight w:val="270"/>
        </w:trPr>
        <w:tc>
          <w:tcPr>
            <w:tcW w:w="4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41.9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7.1</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 end of period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1,963,254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1,899,363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13,130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12,745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3.0</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35,653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1,098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r>
      <w:tr>
        <w:trPr>
          <w:trHeight w:val="247"/>
        </w:trPr>
        <w:tc>
          <w:tcPr>
            <w:tcW w:w="462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11.14</w:t>
            </w:r>
          </w:p>
        </w:tc>
        <w:tc>
          <w:tcPr>
            <w:tcW w:w="520" w:type="dxa"/>
            <w:vAlign w:val="bottom"/>
          </w:tcPr>
          <w:p>
            <w:pPr>
              <w:spacing w:after="0"/>
              <w:rPr>
                <w:sz w:val="21"/>
                <w:szCs w:val="21"/>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11.25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(1.0)</w:t>
            </w:r>
          </w:p>
        </w:tc>
      </w:tr>
      <w:tr>
        <w:trPr>
          <w:trHeight w:val="23"/>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12.03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7.28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7.6</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19,841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3.07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(19.5)</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2,783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100"/>
          </w:cols>
          <w:pgMar w:left="320" w:top="1106" w:right="47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03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0" w:type="dxa"/>
            <w:vAlign w:val="bottom"/>
            <w:gridSpan w:val="3"/>
          </w:tcPr>
          <w:p>
            <w:pPr>
              <w:jc w:val="right"/>
              <w:ind w:right="1171"/>
              <w:spacing w:after="0"/>
              <w:rPr>
                <w:sz w:val="20"/>
                <w:szCs w:val="20"/>
                <w:color w:val="auto"/>
              </w:rPr>
            </w:pPr>
            <w:r>
              <w:rPr>
                <w:rFonts w:ascii="Arial" w:cs="Arial" w:eastAsia="Arial" w:hAnsi="Arial"/>
                <w:sz w:val="14"/>
                <w:szCs w:val="14"/>
                <w:b w:val="1"/>
                <w:bCs w:val="1"/>
                <w:color w:val="0A0A0A"/>
              </w:rPr>
              <w:t>Year Ended December 31,</w:t>
            </w:r>
          </w:p>
        </w:tc>
        <w:tc>
          <w:tcPr>
            <w:tcW w:w="1660" w:type="dxa"/>
            <w:vAlign w:val="bottom"/>
          </w:tcPr>
          <w:p>
            <w:pPr>
              <w:spacing w:after="0"/>
              <w:rPr>
                <w:sz w:val="17"/>
                <w:szCs w:val="17"/>
                <w:color w:val="auto"/>
              </w:rPr>
            </w:pPr>
          </w:p>
        </w:tc>
      </w:tr>
      <w:tr>
        <w:trPr>
          <w:trHeight w:val="203"/>
        </w:trPr>
        <w:tc>
          <w:tcPr>
            <w:tcW w:w="4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2023</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Scheduled Service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 passenger miles (RPMs)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5,648,351</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5,217,852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8.3</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6,707,308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6,044,011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11.0</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Load factor</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86.3%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(2.1)</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passengers carried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4,483,515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4,140,663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29,039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26,144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11.1</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82,618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11.8</w:t>
            </w:r>
          </w:p>
        </w:tc>
      </w:tr>
      <w:tr>
        <w:trPr>
          <w:trHeight w:val="229"/>
        </w:trPr>
        <w:tc>
          <w:tcPr>
            <w:tcW w:w="4660" w:type="dxa"/>
            <w:vAlign w:val="bottom"/>
          </w:tcPr>
          <w:p>
            <w:pPr>
              <w:ind w:left="14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12.27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(11.4)</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base fare per passenger</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109.61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(16.8)</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Ancillary revenue per passenger</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68.68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66.69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3.0</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fare per passenger</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176.30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(9.3)</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Fuel gallons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71,631</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64,450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11.1</w:t>
            </w:r>
          </w:p>
        </w:tc>
      </w:tr>
      <w:tr>
        <w:trPr>
          <w:trHeight w:val="270"/>
        </w:trPr>
        <w:tc>
          <w:tcPr>
            <w:tcW w:w="4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10,387</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20,775</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21,154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(1.8)</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1,270,455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1,286,175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13,666</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14,299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(4.4)</w:t>
            </w:r>
          </w:p>
        </w:tc>
      </w:tr>
      <w:tr>
        <w:trPr>
          <w:trHeight w:val="270"/>
        </w:trPr>
        <w:tc>
          <w:tcPr>
            <w:tcW w:w="4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13,009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33,744</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34,592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(2.5)</w:t>
            </w:r>
          </w:p>
        </w:tc>
      </w:tr>
      <w:tr>
        <w:trPr>
          <w:trHeight w:val="270"/>
        </w:trPr>
        <w:tc>
          <w:tcPr>
            <w:tcW w:w="4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41.8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7.1</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 end of period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8,071,949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7,416,189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8.8</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53,009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50,040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5.9</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139,841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5.8</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1,090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r>
      <w:tr>
        <w:trPr>
          <w:trHeight w:val="247"/>
        </w:trPr>
        <w:tc>
          <w:tcPr>
            <w:tcW w:w="466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11.47</w:t>
            </w:r>
          </w:p>
        </w:tc>
        <w:tc>
          <w:tcPr>
            <w:tcW w:w="520" w:type="dxa"/>
            <w:vAlign w:val="bottom"/>
          </w:tcPr>
          <w:p>
            <w:pPr>
              <w:spacing w:after="0"/>
              <w:rPr>
                <w:sz w:val="21"/>
                <w:szCs w:val="21"/>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12.56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(8.7)</w:t>
            </w:r>
          </w:p>
        </w:tc>
      </w:tr>
      <w:tr>
        <w:trPr>
          <w:trHeight w:val="23"/>
        </w:trPr>
        <w:tc>
          <w:tcPr>
            <w:tcW w:w="4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12.43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r>
      <w:tr>
        <w:trPr>
          <w:trHeight w:val="230"/>
        </w:trPr>
        <w:tc>
          <w:tcPr>
            <w:tcW w:w="466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7.49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1.3</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79,574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3.11</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(10.9)</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2,783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100"/>
          </w:cols>
          <w:pgMar w:left="320" w:top="1106" w:right="479" w:bottom="1440" w:gutter="0" w:footer="0" w:header="0"/>
        </w:sectPr>
      </w:pPr>
    </w:p>
    <w:bookmarkStart w:id="12" w:name="page13"/>
    <w:bookmarkEnd w:id="12"/>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2023</w:t>
            </w:r>
          </w:p>
        </w:tc>
        <w:tc>
          <w:tcPr>
            <w:tcW w:w="1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7"/>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30"/>
        </w:trPr>
        <w:tc>
          <w:tcPr>
            <w:tcW w:w="5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5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 net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 net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7"/>
        </w:trPr>
        <w:tc>
          <w:tcPr>
            <w:tcW w:w="518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160"/>
          </w:cols>
          <w:pgMar w:left="320" w:top="1336" w:right="41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SUMMARY CASH FLOW</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90"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Year Ended December 31,</w:t>
      </w:r>
    </w:p>
    <w:p>
      <w:pPr>
        <w:spacing w:after="0" w:line="42" w:lineRule="exact"/>
        <w:rPr>
          <w:sz w:val="20"/>
          <w:szCs w:val="20"/>
          <w:color w:val="auto"/>
        </w:rPr>
      </w:pPr>
    </w:p>
    <w:p>
      <w:pPr>
        <w:jc w:val="both"/>
        <w:ind w:left="6140"/>
        <w:spacing w:after="0"/>
        <w:tabs>
          <w:tab w:leader="none" w:pos="8100" w:val="left"/>
          <w:tab w:leader="none" w:pos="99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247"/>
        </w:trPr>
        <w:tc>
          <w:tcPr>
            <w:tcW w:w="5220" w:type="dxa"/>
            <w:vAlign w:val="bottom"/>
          </w:tcPr>
          <w:p>
            <w:pPr>
              <w:spacing w:after="0"/>
              <w:rPr>
                <w:sz w:val="20"/>
                <w:szCs w:val="20"/>
                <w:color w:val="auto"/>
              </w:rPr>
            </w:pPr>
            <w:r>
              <w:rPr>
                <w:rFonts w:ascii="Arial" w:cs="Arial" w:eastAsia="Arial" w:hAnsi="Arial"/>
                <w:sz w:val="18"/>
                <w:szCs w:val="18"/>
                <w:b w:val="1"/>
                <w:bCs w:val="1"/>
                <w:color w:val="0A0A0A"/>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2"/>
        </w:trPr>
        <w:tc>
          <w:tcPr>
            <w:tcW w:w="5220" w:type="dxa"/>
            <w:vAlign w:val="bottom"/>
          </w:tcPr>
          <w:p>
            <w:pPr>
              <w:spacing w:after="0"/>
              <w:rPr>
                <w:sz w:val="20"/>
                <w:szCs w:val="20"/>
                <w:color w:val="auto"/>
              </w:rPr>
            </w:pPr>
            <w:r>
              <w:rPr>
                <w:rFonts w:ascii="Arial" w:cs="Arial" w:eastAsia="Arial" w:hAnsi="Arial"/>
                <w:sz w:val="18"/>
                <w:szCs w:val="18"/>
                <w:color w:val="0A0A0A"/>
              </w:rPr>
              <w:t>Purchases of Property &amp; Equipment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0A0A0A"/>
              </w:rPr>
              <w:t>Other Investing Activities, net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20" w:type="dxa"/>
            <w:vAlign w:val="bottom"/>
          </w:tcPr>
          <w:p>
            <w:pPr>
              <w:ind w:left="20"/>
              <w:spacing w:after="0"/>
              <w:rPr>
                <w:sz w:val="20"/>
                <w:szCs w:val="20"/>
                <w:color w:val="auto"/>
              </w:rPr>
            </w:pPr>
            <w:r>
              <w:rPr>
                <w:rFonts w:ascii="Arial" w:cs="Arial" w:eastAsia="Arial" w:hAnsi="Arial"/>
                <w:sz w:val="18"/>
                <w:szCs w:val="18"/>
                <w:b w:val="1"/>
                <w:bCs w:val="1"/>
                <w:color w:val="0A0A0A"/>
              </w:rPr>
              <w:t>Net Cash Provided by (Used in) Investing Activities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220" w:type="dxa"/>
            <w:vAlign w:val="bottom"/>
          </w:tcPr>
          <w:p>
            <w:pPr>
              <w:spacing w:after="0"/>
              <w:rPr>
                <w:sz w:val="20"/>
                <w:szCs w:val="20"/>
                <w:color w:val="auto"/>
              </w:rPr>
            </w:pPr>
            <w:r>
              <w:rPr>
                <w:rFonts w:ascii="Arial" w:cs="Arial" w:eastAsia="Arial" w:hAnsi="Arial"/>
                <w:sz w:val="18"/>
                <w:szCs w:val="18"/>
                <w:color w:val="0A0A0A"/>
              </w:rPr>
              <w:t>Common Stock Repurchases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0A0A0A"/>
              </w:rPr>
              <w:t>Proceeds from Borrowing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0A0A0A"/>
              </w:rPr>
              <w:t>Repayment of Finance Lease Obligations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0A0A0A"/>
              </w:rPr>
              <w:t>Repayment of Borrowings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0A0A0A"/>
              </w:rPr>
              <w:t>Other Financing Activities, net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20" w:type="dxa"/>
            <w:vAlign w:val="bottom"/>
          </w:tcPr>
          <w:p>
            <w:pPr>
              <w:ind w:left="20"/>
              <w:spacing w:after="0"/>
              <w:rPr>
                <w:sz w:val="20"/>
                <w:szCs w:val="20"/>
                <w:color w:val="auto"/>
              </w:rPr>
            </w:pPr>
            <w:r>
              <w:rPr>
                <w:rFonts w:ascii="Arial" w:cs="Arial" w:eastAsia="Arial" w:hAnsi="Arial"/>
                <w:sz w:val="18"/>
                <w:szCs w:val="18"/>
                <w:b w:val="1"/>
                <w:bCs w:val="1"/>
                <w:color w:val="0A0A0A"/>
              </w:rPr>
              <w:t>Net Cash Used in Financing Activities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220" w:type="dxa"/>
            <w:vAlign w:val="bottom"/>
          </w:tcPr>
          <w:p>
            <w:pPr>
              <w:spacing w:after="0"/>
              <w:rPr>
                <w:sz w:val="20"/>
                <w:szCs w:val="20"/>
                <w:color w:val="auto"/>
              </w:rPr>
            </w:pPr>
            <w:r>
              <w:rPr>
                <w:rFonts w:ascii="Arial" w:cs="Arial" w:eastAsia="Arial" w:hAnsi="Arial"/>
                <w:sz w:val="18"/>
                <w:szCs w:val="18"/>
                <w:color w:val="0A0A0A"/>
              </w:rPr>
              <w:t>Net Increase (Decrease) in Cash</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20" w:type="dxa"/>
            <w:vAlign w:val="bottom"/>
          </w:tcPr>
          <w:p>
            <w:pPr>
              <w:ind w:left="20"/>
              <w:spacing w:after="0" w:line="181" w:lineRule="exact"/>
              <w:rPr>
                <w:sz w:val="20"/>
                <w:szCs w:val="20"/>
                <w:color w:val="auto"/>
              </w:rPr>
            </w:pPr>
            <w:r>
              <w:rPr>
                <w:rFonts w:ascii="Arial" w:cs="Arial" w:eastAsia="Arial" w:hAnsi="Arial"/>
                <w:sz w:val="18"/>
                <w:szCs w:val="18"/>
                <w:color w:val="0A0A0A"/>
              </w:rPr>
              <w:t>Cash, Cash Equivalents and Restricted Cash – Beginning of the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00"/>
              <w:spacing w:after="0"/>
              <w:rPr>
                <w:sz w:val="20"/>
                <w:szCs w:val="20"/>
                <w:color w:val="auto"/>
              </w:rPr>
            </w:pPr>
            <w:r>
              <w:rPr>
                <w:rFonts w:ascii="Arial" w:cs="Arial" w:eastAsia="Arial" w:hAnsi="Arial"/>
                <w:sz w:val="18"/>
                <w:szCs w:val="18"/>
                <w:color w:val="0A0A0A"/>
              </w:rPr>
              <w:t>Period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220" w:type="dxa"/>
            <w:vAlign w:val="bottom"/>
          </w:tcPr>
          <w:p>
            <w:pPr>
              <w:ind w:left="20"/>
              <w:spacing w:after="0" w:line="181" w:lineRule="exact"/>
              <w:rPr>
                <w:sz w:val="20"/>
                <w:szCs w:val="20"/>
                <w:color w:val="auto"/>
              </w:rPr>
            </w:pPr>
            <w:r>
              <w:rPr>
                <w:rFonts w:ascii="Arial" w:cs="Arial" w:eastAsia="Arial" w:hAnsi="Arial"/>
                <w:sz w:val="18"/>
                <w:szCs w:val="18"/>
                <w:color w:val="0A0A0A"/>
              </w:rPr>
              <w:t>Cash, Cash Equivalents and Restricted Cash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5220" w:type="dxa"/>
            <w:vAlign w:val="bottom"/>
            <w:vMerge w:val="restart"/>
          </w:tcPr>
          <w:p>
            <w:pPr>
              <w:ind w:left="100"/>
              <w:spacing w:after="0"/>
              <w:rPr>
                <w:sz w:val="20"/>
                <w:szCs w:val="20"/>
                <w:color w:val="auto"/>
              </w:rPr>
            </w:pPr>
            <w:r>
              <w:rPr>
                <w:rFonts w:ascii="Arial" w:cs="Arial" w:eastAsia="Arial" w:hAnsi="Arial"/>
                <w:sz w:val="18"/>
                <w:szCs w:val="18"/>
                <w:color w:val="0A0A0A"/>
              </w:rPr>
              <w:t>End of the Period</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-2345690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-1728470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-1437005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-1145540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15175"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-845185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-2054225</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164.9</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47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(47.3)</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(218.2)</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35"/>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55.7</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r>
      <w:tr>
        <w:trPr>
          <w:trHeight w:val="47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70.0</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(45.9)</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(145.5)</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5"/>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23"/>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(136.5)</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r>
      <w:tr>
        <w:trPr>
          <w:trHeight w:val="48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36.8</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193.9</w:t>
            </w:r>
          </w:p>
        </w:tc>
      </w:tr>
      <w:tr>
        <w:trPr>
          <w:trHeight w:val="32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63.7</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90"/>
        </w:trPr>
        <w:tc>
          <w:tcPr>
            <w:tcW w:w="7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9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100.5</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77"/>
        </w:trPr>
        <w:tc>
          <w:tcPr>
            <w:tcW w:w="7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-33655</wp:posOffset>
            </wp:positionV>
            <wp:extent cx="11830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-8255</wp:posOffset>
            </wp:positionV>
            <wp:extent cx="1183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-281940</wp:posOffset>
            </wp:positionV>
            <wp:extent cx="1183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-1019175</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-1919605</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-2536825</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390"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Net Income per Share, Adjusted EBITDA and Adjusted EBITDA Margin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40"/>
          </w:cols>
          <w:pgMar w:left="320" w:top="1390" w:right="339" w:bottom="1440" w:gutter="0" w:footer="0" w:header="0"/>
          <w:type w:val="continuous"/>
        </w:sectPr>
      </w:pPr>
    </w:p>
    <w:bookmarkStart w:id="14" w:name="page15"/>
    <w:bookmarkEnd w:id="14"/>
    <w:p>
      <w:pPr>
        <w:spacing w:after="0" w:line="31" w:lineRule="exact"/>
        <w:rPr>
          <w:sz w:val="20"/>
          <w:szCs w:val="20"/>
          <w:color w:val="auto"/>
        </w:rPr>
      </w:pPr>
    </w:p>
    <w:p>
      <w:pPr>
        <w:ind w:left="20" w:right="4520"/>
        <w:spacing w:after="0" w:line="343"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December 31,</w:t>
            </w:r>
          </w:p>
        </w:tc>
        <w:tc>
          <w:tcPr>
            <w:tcW w:w="920" w:type="dxa"/>
            <w:vAlign w:val="bottom"/>
          </w:tcPr>
          <w:p>
            <w:pPr>
              <w:spacing w:after="0"/>
              <w:rPr>
                <w:sz w:val="17"/>
                <w:szCs w:val="17"/>
                <w:color w:val="auto"/>
              </w:rPr>
            </w:pPr>
          </w:p>
        </w:tc>
      </w:tr>
      <w:tr>
        <w:trPr>
          <w:trHeight w:val="204"/>
        </w:trPr>
        <w:tc>
          <w:tcPr>
            <w:tcW w:w="6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7"/>
                <w:szCs w:val="17"/>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40" w:type="dxa"/>
            <w:vAlign w:val="bottom"/>
            <w:gridSpan w:val="2"/>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245.5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17.1</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4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0" w:type="dxa"/>
            <w:vAlign w:val="bottom"/>
          </w:tcPr>
          <w:p>
            <w:pPr>
              <w:spacing w:after="0"/>
              <w:rPr>
                <w:sz w:val="19"/>
                <w:szCs w:val="19"/>
                <w:color w:val="auto"/>
              </w:rPr>
            </w:pPr>
          </w:p>
        </w:tc>
        <w:tc>
          <w:tcPr>
            <w:tcW w:w="1400" w:type="dxa"/>
            <w:vAlign w:val="bottom"/>
            <w:tcBorders>
              <w:bottom w:val="single" w:sz="8" w:color="auto"/>
            </w:tcBorders>
          </w:tcPr>
          <w:p>
            <w:pPr>
              <w:jc w:val="right"/>
              <w:ind w:right="119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619"/>
        </w:trPr>
        <w:tc>
          <w:tcPr>
            <w:tcW w:w="6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4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24"/>
                <w:szCs w:val="24"/>
                <w:color w:val="auto"/>
              </w:rPr>
            </w:pPr>
          </w:p>
        </w:tc>
      </w:tr>
      <w:tr>
        <w:trPr>
          <w:trHeight w:val="204"/>
        </w:trPr>
        <w:tc>
          <w:tcPr>
            <w:tcW w:w="6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7"/>
                <w:szCs w:val="17"/>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40" w:type="dxa"/>
            <w:vAlign w:val="bottom"/>
            <w:gridSpan w:val="2"/>
            <w:shd w:val="clear" w:color="auto" w:fill="CCEEFF"/>
          </w:tcPr>
          <w:p>
            <w:pPr>
              <w:jc w:val="right"/>
              <w:ind w:right="123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1,075.7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1,049.6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127.5</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440" w:type="dxa"/>
            <w:vAlign w:val="bottom"/>
            <w:tcBorders>
              <w:bottom w:val="single" w:sz="8" w:color="auto"/>
            </w:tcBorders>
            <w:gridSpan w:val="2"/>
          </w:tcPr>
          <w:p>
            <w:pPr>
              <w:jc w:val="right"/>
              <w:ind w:right="123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136.8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right="3480"/>
        <w:spacing w:after="0" w:line="343" w:lineRule="auto"/>
        <w:rPr>
          <w:sz w:val="20"/>
          <w:szCs w:val="20"/>
          <w:color w:val="auto"/>
        </w:rPr>
      </w:pPr>
      <w:r>
        <w:rPr>
          <w:rFonts w:ascii="Arial" w:cs="Arial" w:eastAsia="Arial" w:hAnsi="Arial"/>
          <w:sz w:val="18"/>
          <w:szCs w:val="18"/>
          <w:b w:val="1"/>
          <w:bCs w:val="1"/>
          <w:color w:val="auto"/>
        </w:rPr>
        <w:t>Reconciliation of GAAP Income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before Income Tax to Adjusted Income before Income Tax.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402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December 31,</w:t>
            </w:r>
          </w:p>
        </w:tc>
        <w:tc>
          <w:tcPr>
            <w:tcW w:w="740" w:type="dxa"/>
            <w:vAlign w:val="bottom"/>
          </w:tcPr>
          <w:p>
            <w:pPr>
              <w:spacing w:after="0"/>
              <w:rPr>
                <w:sz w:val="17"/>
                <w:szCs w:val="17"/>
                <w:color w:val="auto"/>
              </w:rPr>
            </w:pPr>
          </w:p>
        </w:tc>
      </w:tr>
      <w:tr>
        <w:trPr>
          <w:trHeight w:val="203"/>
        </w:trPr>
        <w:tc>
          <w:tcPr>
            <w:tcW w:w="6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7"/>
                <w:szCs w:val="17"/>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0"/>
        </w:trPr>
        <w:tc>
          <w:tcPr>
            <w:tcW w:w="64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54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5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1540" w:type="dxa"/>
            <w:vAlign w:val="bottom"/>
            <w:tcBorders>
              <w:top w:val="single" w:sz="8" w:color="auto"/>
              <w:bottom w:val="single" w:sz="8" w:color="auto"/>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ind w:right="13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00"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00"/>
          </w:cols>
          <w:pgMar w:left="320" w:top="1440" w:right="37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Pr>
          <w:p>
            <w:pPr>
              <w:spacing w:after="0"/>
              <w:rPr>
                <w:sz w:val="17"/>
                <w:szCs w:val="17"/>
                <w:color w:val="auto"/>
              </w:rPr>
            </w:pPr>
          </w:p>
        </w:tc>
      </w:tr>
      <w:tr>
        <w:trPr>
          <w:trHeight w:val="204"/>
        </w:trPr>
        <w:tc>
          <w:tcPr>
            <w:tcW w:w="6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rPr>
              <w:t>2023</w:t>
            </w: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72.2</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22.0</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94.2</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70"/>
        </w:trPr>
        <w:tc>
          <w:tcPr>
            <w:tcW w:w="6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4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9.3</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4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1.1</w:t>
            </w:r>
          </w:p>
        </w:tc>
      </w:tr>
      <w:tr>
        <w:trPr>
          <w:trHeight w:val="27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Adjusted Income before Income Tax</w:t>
            </w:r>
          </w:p>
        </w:tc>
        <w:tc>
          <w:tcPr>
            <w:tcW w:w="1400" w:type="dxa"/>
            <w:vAlign w:val="bottom"/>
            <w:tcBorders>
              <w:top w:val="single" w:sz="8" w:color="auto"/>
              <w:bottom w:val="single" w:sz="8" w:color="auto"/>
            </w:tcBorders>
          </w:tcPr>
          <w:p>
            <w:pPr>
              <w:jc w:val="right"/>
              <w:ind w:right="119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104.2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9"/>
        </w:trPr>
        <w:tc>
          <w:tcPr>
            <w:tcW w:w="6440" w:type="dxa"/>
            <w:vAlign w:val="bottom"/>
          </w:tcPr>
          <w:p>
            <w:pPr>
              <w:ind w:left="20"/>
              <w:spacing w:after="0"/>
              <w:rPr>
                <w:sz w:val="20"/>
                <w:szCs w:val="20"/>
                <w:color w:val="auto"/>
              </w:rPr>
            </w:pPr>
            <w:r>
              <w:rPr>
                <w:rFonts w:ascii="Arial" w:cs="Arial" w:eastAsia="Arial" w:hAnsi="Arial"/>
                <w:sz w:val="18"/>
                <w:szCs w:val="18"/>
                <w:color w:val="auto"/>
              </w:rPr>
              <w:t>Adjusted Pre-tax margin</w:t>
            </w:r>
          </w:p>
        </w:tc>
        <w:tc>
          <w:tcPr>
            <w:tcW w:w="1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9.9 %</w:t>
            </w:r>
          </w:p>
        </w:tc>
      </w:tr>
    </w:tbl>
    <w:p>
      <w:pPr>
        <w:spacing w:after="0" w:line="176" w:lineRule="exact"/>
        <w:rPr>
          <w:sz w:val="20"/>
          <w:szCs w:val="20"/>
          <w:color w:val="auto"/>
        </w:rPr>
      </w:pPr>
    </w:p>
    <w:p>
      <w:pPr>
        <w:ind w:left="440" w:hanging="414"/>
        <w:spacing w:after="0"/>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 net</w:t>
      </w:r>
    </w:p>
    <w:p>
      <w:pPr>
        <w:spacing w:after="0" w:line="200" w:lineRule="exact"/>
        <w:rPr>
          <w:sz w:val="20"/>
          <w:szCs w:val="20"/>
          <w:color w:val="auto"/>
        </w:rPr>
      </w:pPr>
    </w:p>
    <w:p>
      <w:pPr>
        <w:spacing w:after="0" w:line="208" w:lineRule="exact"/>
        <w:rPr>
          <w:sz w:val="20"/>
          <w:szCs w:val="20"/>
          <w:color w:val="auto"/>
        </w:rPr>
      </w:pPr>
    </w:p>
    <w:p>
      <w:pPr>
        <w:ind w:left="20" w:right="1140"/>
        <w:spacing w:after="0" w:line="343" w:lineRule="auto"/>
        <w:rPr>
          <w:sz w:val="20"/>
          <w:szCs w:val="20"/>
          <w:color w:val="auto"/>
        </w:rPr>
      </w:pPr>
      <w:r>
        <w:rPr>
          <w:rFonts w:ascii="Arial" w:cs="Arial" w:eastAsia="Arial" w:hAnsi="Arial"/>
          <w:sz w:val="18"/>
          <w:szCs w:val="18"/>
          <w:b w:val="1"/>
          <w:bCs w:val="1"/>
          <w:color w:val="auto"/>
        </w:rPr>
        <w:t>Reconciliation of GAAP Net Income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following table presents the reconciliation of GAAP Net Income and Earnings per Share to Adjusted Net Income and Adjusted Earnings per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 - diluted</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 Share - diluted</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29"/>
        </w:trPr>
        <w:tc>
          <w:tcPr>
            <w:tcW w:w="46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0A0A0A"/>
              </w:rPr>
              <w:t>55.3</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0A0A0A"/>
                <w:w w:val="96"/>
              </w:rPr>
              <w:t>56.3</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62"/>
        </w:trPr>
        <w:tc>
          <w:tcPr>
            <w:tcW w:w="46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1"/>
        </w:trPr>
        <w:tc>
          <w:tcPr>
            <w:tcW w:w="4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 - diluted</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 Share - diluted</w:t>
            </w:r>
          </w:p>
        </w:tc>
      </w:tr>
      <w:tr>
        <w:trPr>
          <w:trHeight w:val="24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72.2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(2)</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(1)</w:t>
            </w:r>
          </w:p>
        </w:tc>
        <w:tc>
          <w:tcPr>
            <w:tcW w:w="10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79.9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4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 count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0A0A0A"/>
              </w:rPr>
              <w:t>55.1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0A0A0A"/>
                <w:w w:val="96"/>
              </w:rPr>
              <w:t>58.5</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1332" w:right="3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20"/>
          </w:cols>
          <w:pgMar w:left="320" w:top="1332" w:right="359" w:bottom="1440" w:gutter="0" w:footer="0" w:header="0"/>
          <w:type w:val="continuous"/>
        </w:sectPr>
      </w:pPr>
    </w:p>
    <w:bookmarkStart w:id="16" w:name="page17"/>
    <w:bookmarkEnd w:id="16"/>
    <w:p>
      <w:pPr>
        <w:ind w:left="440" w:hanging="414"/>
        <w:spacing w:after="0"/>
        <w:tabs>
          <w:tab w:leader="none" w:pos="440" w:val="left"/>
        </w:tabs>
        <w:numPr>
          <w:ilvl w:val="0"/>
          <w:numId w:val="8"/>
        </w:numPr>
        <w:rPr>
          <w:rFonts w:ascii="Arial" w:cs="Arial" w:eastAsia="Arial" w:hAnsi="Arial"/>
          <w:sz w:val="29"/>
          <w:szCs w:val="29"/>
          <w:color w:val="auto"/>
          <w:vertAlign w:val="superscript"/>
        </w:rPr>
      </w:pPr>
      <w:r>
        <w:rPr>
          <w:rFonts w:ascii="Arial" w:cs="Arial" w:eastAsia="Arial" w:hAnsi="Arial"/>
          <w:sz w:val="14"/>
          <w:szCs w:val="14"/>
          <w:color w:val="auto"/>
        </w:rPr>
        <w:t>The tax effect of adjusting items, net is calculated at the Company’s statutory rate for the application period</w:t>
      </w:r>
    </w:p>
    <w:p>
      <w:pPr>
        <w:spacing w:after="0" w:line="93" w:lineRule="exact"/>
        <w:rPr>
          <w:rFonts w:ascii="Arial" w:cs="Arial" w:eastAsia="Arial" w:hAnsi="Arial"/>
          <w:sz w:val="29"/>
          <w:szCs w:val="29"/>
          <w:color w:val="auto"/>
          <w:vertAlign w:val="superscript"/>
        </w:rPr>
      </w:pPr>
    </w:p>
    <w:p>
      <w:pPr>
        <w:ind w:left="440" w:hanging="414"/>
        <w:spacing w:after="0" w:line="183" w:lineRule="auto"/>
        <w:tabs>
          <w:tab w:leader="none" w:pos="440"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This represents the adjustment to the TRA for the period, which is recorded in Non-Operating Income (Expense), net</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GAAP Net Income to Adjusted EBITDA for the periods presented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gridSpan w:val="5"/>
          </w:tcPr>
          <w:p>
            <w:pPr>
              <w:jc w:val="right"/>
              <w:ind w:right="296"/>
              <w:spacing w:after="0"/>
              <w:rPr>
                <w:sz w:val="20"/>
                <w:szCs w:val="20"/>
                <w:color w:val="auto"/>
              </w:rPr>
            </w:pPr>
            <w:r>
              <w:rPr>
                <w:rFonts w:ascii="Arial" w:cs="Arial" w:eastAsia="Arial" w:hAnsi="Arial"/>
                <w:sz w:val="14"/>
                <w:szCs w:val="14"/>
                <w:b w:val="1"/>
                <w:bCs w:val="1"/>
                <w:color w:val="auto"/>
              </w:rPr>
              <w:t>Three Months Ended December 31,</w:t>
            </w:r>
          </w:p>
        </w:tc>
        <w:tc>
          <w:tcPr>
            <w:tcW w:w="880" w:type="dxa"/>
            <w:vAlign w:val="bottom"/>
          </w:tcPr>
          <w:p>
            <w:pPr>
              <w:spacing w:after="0"/>
              <w:rPr>
                <w:sz w:val="17"/>
                <w:szCs w:val="17"/>
                <w:color w:val="auto"/>
              </w:rPr>
            </w:pPr>
          </w:p>
        </w:tc>
      </w:tr>
      <w:tr>
        <w:trPr>
          <w:trHeight w:val="203"/>
        </w:trPr>
        <w:tc>
          <w:tcPr>
            <w:tcW w:w="6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224"/>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12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(2.4)</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Secondary Offering Costs</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29"/>
        </w:trPr>
        <w:tc>
          <w:tcPr>
            <w:tcW w:w="620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23.6</w:t>
            </w:r>
          </w:p>
        </w:tc>
      </w:tr>
      <w:tr>
        <w:trPr>
          <w:trHeight w:val="223"/>
        </w:trPr>
        <w:tc>
          <w:tcPr>
            <w:tcW w:w="620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19"/>
                <w:szCs w:val="19"/>
                <w:color w:val="auto"/>
              </w:rPr>
            </w:pPr>
          </w:p>
        </w:tc>
        <w:tc>
          <w:tcPr>
            <w:tcW w:w="1460" w:type="dxa"/>
            <w:vAlign w:val="bottom"/>
            <w:tcBorders>
              <w:bottom w:val="single" w:sz="8" w:color="auto"/>
            </w:tcBorders>
          </w:tcPr>
          <w:p>
            <w:pPr>
              <w:jc w:val="right"/>
              <w:ind w:right="127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51.3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13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41.8</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6200" w:type="dxa"/>
            <w:vAlign w:val="bottom"/>
          </w:tcPr>
          <w:p>
            <w:pPr>
              <w:ind w:left="80"/>
              <w:spacing w:after="0"/>
              <w:rPr>
                <w:sz w:val="20"/>
                <w:szCs w:val="20"/>
                <w:color w:val="auto"/>
              </w:rPr>
            </w:pPr>
            <w:r>
              <w:rPr>
                <w:rFonts w:ascii="Arial" w:cs="Arial" w:eastAsia="Arial" w:hAnsi="Arial"/>
                <w:sz w:val="18"/>
                <w:szCs w:val="18"/>
                <w:color w:val="auto"/>
              </w:rPr>
              <w:t>Net Income Margin</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5.2 %</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606"/>
        </w:trPr>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6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24"/>
                <w:szCs w:val="24"/>
                <w:color w:val="auto"/>
              </w:rPr>
            </w:pPr>
          </w:p>
        </w:tc>
      </w:tr>
      <w:tr>
        <w:trPr>
          <w:trHeight w:val="203"/>
        </w:trPr>
        <w:tc>
          <w:tcPr>
            <w:tcW w:w="6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7"/>
                <w:szCs w:val="17"/>
                <w:color w:val="auto"/>
              </w:rPr>
            </w:pPr>
          </w:p>
        </w:tc>
      </w:tr>
      <w:tr>
        <w:trPr>
          <w:trHeight w:val="224"/>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129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72.2</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(10.2)</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42.6</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Secondary Offering Costs</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70"/>
        </w:trPr>
        <w:tc>
          <w:tcPr>
            <w:tcW w:w="6200" w:type="dxa"/>
            <w:vAlign w:val="bottom"/>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3"/>
                <w:szCs w:val="23"/>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(0.3)</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r>
      <w:tr>
        <w:trPr>
          <w:trHeight w:val="229"/>
        </w:trPr>
        <w:tc>
          <w:tcPr>
            <w:tcW w:w="62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95.0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88.2</w:t>
            </w:r>
          </w:p>
        </w:tc>
      </w:tr>
      <w:tr>
        <w:trPr>
          <w:trHeight w:val="248"/>
        </w:trPr>
        <w:tc>
          <w:tcPr>
            <w:tcW w:w="6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500" w:type="dxa"/>
            <w:vAlign w:val="bottom"/>
            <w:tcBorders>
              <w:bottom w:val="single" w:sz="8" w:color="auto"/>
            </w:tcBorders>
            <w:gridSpan w:val="2"/>
            <w:shd w:val="clear" w:color="auto" w:fill="CCEEFF"/>
          </w:tcPr>
          <w:p>
            <w:pPr>
              <w:jc w:val="right"/>
              <w:ind w:right="129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224.8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Margin</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9"/>
        </w:trPr>
        <w:tc>
          <w:tcPr>
            <w:tcW w:w="6200" w:type="dxa"/>
            <w:vAlign w:val="bottom"/>
          </w:tcPr>
          <w:p>
            <w:pPr>
              <w:ind w:left="80"/>
              <w:spacing w:after="0"/>
              <w:rPr>
                <w:sz w:val="20"/>
                <w:szCs w:val="20"/>
                <w:color w:val="auto"/>
              </w:rPr>
            </w:pPr>
            <w:r>
              <w:rPr>
                <w:rFonts w:ascii="Arial" w:cs="Arial" w:eastAsia="Arial" w:hAnsi="Arial"/>
                <w:sz w:val="18"/>
                <w:szCs w:val="18"/>
                <w:color w:val="auto"/>
              </w:rPr>
              <w:t>Adjusted EBITDA margin</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21.4 %</w:t>
            </w:r>
          </w:p>
        </w:tc>
      </w:tr>
    </w:tbl>
    <w:p>
      <w:pPr>
        <w:spacing w:after="0" w:line="81" w:lineRule="exact"/>
        <w:rPr>
          <w:sz w:val="20"/>
          <w:szCs w:val="20"/>
          <w:color w:val="auto"/>
        </w:rPr>
      </w:pPr>
    </w:p>
    <w:p>
      <w:pPr>
        <w:ind w:left="440" w:hanging="414"/>
        <w:spacing w:after="0"/>
        <w:tabs>
          <w:tab w:leader="none" w:pos="44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 net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CASM is a metric that uses a non-GAAP measure derived from CASM by excluding fuel costs, costs related to our cargo operations, stock based compensation,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ectPr>
          <w:pgSz w:w="11900" w:h="16838" w:orient="portrait"/>
          <w:cols w:equalWidth="0" w:num="1">
            <w:col w:w="11240"/>
          </w:cols>
          <w:pgMar w:left="320" w:top="12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40"/>
          </w:cols>
          <w:pgMar w:left="320" w:top="1243" w:right="339" w:bottom="1440" w:gutter="0" w:footer="0" w:header="0"/>
          <w:type w:val="continuous"/>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Company has entered into certain transactions where we act as a lessor. As of December 31, 2024, we leased or subleased six aircraft. Depreciation and Amortization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40"/>
          </w:cols>
          <w:pgMar w:left="320" w:top="106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December 31,</w:t>
            </w:r>
          </w:p>
        </w:tc>
        <w:tc>
          <w:tcPr>
            <w:tcW w:w="1380" w:type="dxa"/>
            <w:vAlign w:val="bottom"/>
          </w:tcPr>
          <w:p>
            <w:pPr>
              <w:spacing w:after="0"/>
              <w:rPr>
                <w:sz w:val="17"/>
                <w:szCs w:val="17"/>
                <w:color w:val="auto"/>
              </w:rPr>
            </w:pPr>
          </w:p>
        </w:tc>
      </w:tr>
      <w:tr>
        <w:trPr>
          <w:trHeight w:val="204"/>
        </w:trPr>
        <w:tc>
          <w:tcPr>
            <w:tcW w:w="4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r>
      <w:tr>
        <w:trPr>
          <w:trHeight w:val="188"/>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Operating</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1"/>
        </w:trPr>
        <w:tc>
          <w:tcPr>
            <w:tcW w:w="4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Operating Expenses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 ASM (cents)</w:t>
            </w:r>
          </w:p>
        </w:tc>
      </w:tr>
      <w:tr>
        <w:trPr>
          <w:trHeight w:val="224"/>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234.3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228.4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49.9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19"/>
                <w:szCs w:val="19"/>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1.4</w:t>
            </w: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13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27.3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200" w:type="dxa"/>
            <w:vAlign w:val="bottom"/>
          </w:tcPr>
          <w:p>
            <w:pPr>
              <w:spacing w:after="0"/>
              <w:rPr>
                <w:sz w:val="19"/>
                <w:szCs w:val="19"/>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0.2</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0.2</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Depreciation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1.8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153.7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138.2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9"/>
        </w:trPr>
        <w:tc>
          <w:tcPr>
            <w:tcW w:w="4740" w:type="dxa"/>
            <w:vAlign w:val="bottom"/>
          </w:tcPr>
          <w:p>
            <w:pPr>
              <w:ind w:left="80"/>
              <w:spacing w:after="0"/>
              <w:rPr>
                <w:sz w:val="20"/>
                <w:szCs w:val="20"/>
                <w:color w:val="auto"/>
              </w:rPr>
            </w:pPr>
            <w:r>
              <w:rPr>
                <w:rFonts w:ascii="Arial" w:cs="Arial" w:eastAsia="Arial" w:hAnsi="Arial"/>
                <w:sz w:val="18"/>
                <w:szCs w:val="18"/>
                <w:color w:val="auto"/>
              </w:rPr>
              <w:t>Available seat miles (ASMs) - millions</w:t>
            </w:r>
          </w:p>
        </w:tc>
        <w:tc>
          <w:tcPr>
            <w:tcW w:w="200" w:type="dxa"/>
            <w:vAlign w:val="bottom"/>
          </w:tcPr>
          <w:p>
            <w:pPr>
              <w:spacing w:after="0"/>
              <w:rPr>
                <w:sz w:val="20"/>
                <w:szCs w:val="20"/>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1,963.3</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w w:val="99"/>
              </w:rPr>
              <w:t>1,899.4</w:t>
            </w:r>
          </w:p>
        </w:tc>
        <w:tc>
          <w:tcPr>
            <w:tcW w:w="1380" w:type="dxa"/>
            <w:vAlign w:val="bottom"/>
          </w:tcPr>
          <w:p>
            <w:pPr>
              <w:spacing w:after="0"/>
              <w:rPr>
                <w:sz w:val="20"/>
                <w:szCs w:val="20"/>
                <w:color w:val="auto"/>
              </w:rPr>
            </w:pPr>
          </w:p>
        </w:tc>
      </w:tr>
      <w:tr>
        <w:trPr>
          <w:trHeight w:val="610"/>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r>
      <w:tr>
        <w:trPr>
          <w:trHeight w:val="174"/>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Operating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4"/>
        </w:trPr>
        <w:tc>
          <w:tcPr>
            <w:tcW w:w="4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Operating Expenses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 ASM (cents)</w:t>
            </w:r>
          </w:p>
        </w:tc>
      </w:tr>
      <w:tr>
        <w:trPr>
          <w:trHeight w:val="224"/>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969.8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922.1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237.2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19"/>
                <w:szCs w:val="19"/>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6.0</w:t>
            </w: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9.3</w:t>
            </w:r>
          </w:p>
        </w:tc>
        <w:tc>
          <w:tcPr>
            <w:tcW w:w="13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104.6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200" w:type="dxa"/>
            <w:vAlign w:val="bottom"/>
          </w:tcPr>
          <w:p>
            <w:pPr>
              <w:spacing w:after="0"/>
              <w:rPr>
                <w:sz w:val="19"/>
                <w:szCs w:val="19"/>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1.3</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Depreciation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8.1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6.7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612.6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555.4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9"/>
        </w:trPr>
        <w:tc>
          <w:tcPr>
            <w:tcW w:w="4740" w:type="dxa"/>
            <w:vAlign w:val="bottom"/>
          </w:tcPr>
          <w:p>
            <w:pPr>
              <w:ind w:left="80"/>
              <w:spacing w:after="0"/>
              <w:rPr>
                <w:sz w:val="20"/>
                <w:szCs w:val="20"/>
                <w:color w:val="auto"/>
              </w:rPr>
            </w:pPr>
            <w:r>
              <w:rPr>
                <w:rFonts w:ascii="Arial" w:cs="Arial" w:eastAsia="Arial" w:hAnsi="Arial"/>
                <w:sz w:val="18"/>
                <w:szCs w:val="18"/>
                <w:color w:val="auto"/>
              </w:rPr>
              <w:t>Available seat miles (ASMs) - millions</w:t>
            </w:r>
          </w:p>
        </w:tc>
        <w:tc>
          <w:tcPr>
            <w:tcW w:w="200" w:type="dxa"/>
            <w:vAlign w:val="bottom"/>
          </w:tcPr>
          <w:p>
            <w:pPr>
              <w:spacing w:after="0"/>
              <w:rPr>
                <w:sz w:val="20"/>
                <w:szCs w:val="20"/>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8,071.9</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w w:val="99"/>
              </w:rPr>
              <w:t>7,416.2</w:t>
            </w:r>
          </w:p>
        </w:tc>
        <w:tc>
          <w:tcPr>
            <w:tcW w:w="1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16</w:t>
      </w:r>
    </w:p>
    <w:sectPr>
      <w:pgSz w:w="11900" w:h="16838" w:orient="portrait"/>
      <w:cols w:equalWidth="0" w:num="1">
        <w:col w:w="11220"/>
      </w:cols>
      <w:pgMar w:left="320" w:top="13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2025-02-04T05:09:41Z</dcterms:created>
  <dcterms:modified xsi:type="dcterms:W3CDTF">2025-02-04T05:09:41Z</dcterms:modified>
</cp:coreProperties>
</file>