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31,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Sun Country Airlines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125" w:type="dxa"/>
        <w:jc w:val="left"/>
        <w:tblInd w:w="0" w:type="dxa"/>
        <w:tblLayout w:type="fixed"/>
        <w:tblCellMar>
          <w:top w:w="28" w:type="dxa"/>
          <w:left w:w="28" w:type="dxa"/>
          <w:bottom w:w="28" w:type="dxa"/>
          <w:right w:w="28" w:type="dxa"/>
        </w:tblCellMar>
      </w:tblPr>
      <w:tblGrid>
        <w:gridCol w:w="466"/>
        <w:gridCol w:w="410"/>
        <w:gridCol w:w="414"/>
        <w:gridCol w:w="394"/>
        <w:gridCol w:w="394"/>
        <w:gridCol w:w="398"/>
        <w:gridCol w:w="481"/>
        <w:gridCol w:w="481"/>
        <w:gridCol w:w="68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001-40217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82-4092570</w:t>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335" w:type="dxa"/>
        <w:jc w:val="left"/>
        <w:tblInd w:w="0" w:type="dxa"/>
        <w:tblLayout w:type="fixed"/>
        <w:tblCellMar>
          <w:top w:w="28" w:type="dxa"/>
          <w:left w:w="28" w:type="dxa"/>
          <w:bottom w:w="28" w:type="dxa"/>
          <w:right w:w="28" w:type="dxa"/>
        </w:tblCellMar>
      </w:tblPr>
      <w:tblGrid>
        <w:gridCol w:w="1192"/>
        <w:gridCol w:w="1047"/>
        <w:gridCol w:w="1061"/>
        <w:gridCol w:w="303"/>
        <w:gridCol w:w="303"/>
        <w:gridCol w:w="429"/>
      </w:tblGrid>
      <w:tr>
        <w:trPr/>
        <w:tc>
          <w:tcPr>
            <w:tcW w:w="119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2005 Cargo Road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Minneapolis, Minnesota</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55450</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(651) 681-3900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2"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314"/>
        <w:gridCol w:w="314"/>
        <w:gridCol w:w="316"/>
        <w:gridCol w:w="109"/>
        <w:gridCol w:w="109"/>
        <w:gridCol w:w="109"/>
        <w:gridCol w:w="780"/>
        <w:gridCol w:w="780"/>
        <w:gridCol w:w="1110"/>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31, 2025, Sun Country Airlines Holdings, Inc. issued a press release announcing its financial results for the fiscal quarter ended June 30, 2025. A copy of the press release is attached hereto as Exhibit 99.1 and incorporated by reference herein.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270"/>
        <w:jc w:val="left"/>
        <w:rPr/>
      </w:pPr>
      <w:r>
        <w:rPr>
          <w:rFonts w:ascii="Times New Roman;serif" w:hAnsi="Times New Roman;serif"/>
          <w:b w:val="false"/>
          <w:color w:val="000000"/>
          <w:sz w:val="20"/>
        </w:rPr>
        <w:t>(d)</w:t>
      </w:r>
      <w:r>
        <w:rPr>
          <w:rFonts w:ascii="Times New Roman;serif" w:hAnsi="Times New Roman;serif"/>
          <w:b w:val="false"/>
          <w:i/>
          <w:color w:val="000000"/>
          <w:sz w:val="20"/>
        </w:rPr>
        <w:t>Exhibits.</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9"/>
        <w:gridCol w:w="1929"/>
        <w:gridCol w:w="27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q22025-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q22025-ex991.htm">
              <w:r>
                <w:rPr>
                  <w:rStyle w:val="InternetLink"/>
                  <w:rFonts w:ascii="Times New Roman;serif" w:hAnsi="Times New Roman;serif"/>
                  <w:b w:val="false"/>
                  <w:color w:val="0000FF"/>
                  <w:sz w:val="20"/>
                  <w:u w:val="single"/>
                </w:rPr>
                <w:t>Press release, dated July 31, 2025</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9293" w:type="dxa"/>
        <w:jc w:val="left"/>
        <w:tblInd w:w="0" w:type="dxa"/>
        <w:tblLayout w:type="fixed"/>
        <w:tblCellMar>
          <w:top w:w="28" w:type="dxa"/>
          <w:left w:w="28" w:type="dxa"/>
          <w:bottom w:w="28" w:type="dxa"/>
          <w:right w:w="28" w:type="dxa"/>
        </w:tblCellMar>
      </w:tblPr>
      <w:tblGrid>
        <w:gridCol w:w="618"/>
        <w:gridCol w:w="544"/>
        <w:gridCol w:w="547"/>
        <w:gridCol w:w="334"/>
        <w:gridCol w:w="334"/>
        <w:gridCol w:w="334"/>
        <w:gridCol w:w="334"/>
        <w:gridCol w:w="334"/>
        <w:gridCol w:w="334"/>
        <w:gridCol w:w="1635"/>
        <w:gridCol w:w="1635"/>
        <w:gridCol w:w="231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2025</w:t>
            </w:r>
          </w:p>
        </w:tc>
        <w:tc>
          <w:tcPr>
            <w:tcW w:w="758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Sun Country Airlines Holdings,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Erin Rose Neale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Erin Rose Neale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Senior Vice President,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285750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571500"/>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60" w:after="283"/>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Sun Country Airlines Reports Second Quarter 2025 Results</w:t>
      </w:r>
    </w:p>
    <w:p>
      <w:pPr>
        <w:pStyle w:val="TextBody"/>
        <w:bidi w:val="0"/>
        <w:spacing w:lineRule="auto" w:line="288" w:before="0" w:after="0"/>
        <w:jc w:val="center"/>
        <w:rPr/>
      </w:pPr>
      <w:r>
        <w:rPr>
          <w:rFonts w:ascii="Arial;sans-serif" w:hAnsi="Arial;sans-serif"/>
          <w:b w:val="false"/>
          <w:color w:val="000000"/>
          <w:sz w:val="20"/>
        </w:rPr>
        <w:t>Revenue of $264 million, highest second quarter on record</w:t>
      </w:r>
      <w:r>
        <w:rPr>
          <w:rFonts w:ascii="Arial;sans-serif" w:hAnsi="Arial;sans-serif"/>
          <w:b w:val="false"/>
          <w:color w:val="000000"/>
          <w:sz w:val="13"/>
        </w:rPr>
        <w:t>(1)</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GAAP diluted EPS of $0.12, operating income of $16 million and margin of 6.2%</w:t>
      </w:r>
    </w:p>
    <w:p>
      <w:pPr>
        <w:pStyle w:val="TextBody"/>
        <w:bidi w:val="0"/>
        <w:spacing w:lineRule="auto" w:line="288" w:before="0" w:after="0"/>
        <w:jc w:val="center"/>
        <w:rPr/>
      </w:pPr>
      <w:r>
        <w:rPr>
          <w:rFonts w:ascii="Arial;sans-serif" w:hAnsi="Arial;sans-serif"/>
          <w:b w:val="false"/>
          <w:color w:val="000000"/>
          <w:sz w:val="20"/>
        </w:rPr>
        <w:t>Adj. diluted EPS</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$0.14, adj. operating income</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$18 million and margin</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6.8%</w:t>
      </w:r>
    </w:p>
    <w:p>
      <w:pPr>
        <w:pStyle w:val="TextBody"/>
        <w:bidi w:val="0"/>
        <w:spacing w:lineRule="auto" w:line="288" w:before="240" w:after="283"/>
        <w:jc w:val="left"/>
        <w:rPr/>
      </w:pPr>
      <w:r>
        <w:rPr>
          <w:rFonts w:ascii="Arial;sans-serif" w:hAnsi="Arial;sans-serif"/>
          <w:b w:val="false"/>
          <w:color w:val="000000"/>
          <w:sz w:val="20"/>
        </w:rPr>
        <w:t>MINNEAPOLIS. July 31, 2025. Sun Country Airlines Holdings, Inc. (“Sun Country Airlines,” “Sun Country,” the “Company”) (</w:t>
      </w:r>
      <w:r>
        <w:rPr>
          <w:rFonts w:ascii="Arial;sans-serif" w:hAnsi="Arial;sans-serif"/>
          <w:b w:val="false"/>
          <w:color w:val="0563C1"/>
          <w:sz w:val="20"/>
        </w:rPr>
        <w:t>NASDAQ: SNCY</w:t>
      </w:r>
      <w:r>
        <w:rPr>
          <w:rFonts w:ascii="Arial;sans-serif" w:hAnsi="Arial;sans-serif"/>
          <w:b w:val="false"/>
          <w:color w:val="000000"/>
          <w:sz w:val="20"/>
        </w:rPr>
        <w:t>) today reported financial results for its second quarter ended June 30, 2025.</w:t>
      </w:r>
    </w:p>
    <w:p>
      <w:pPr>
        <w:pStyle w:val="TextBody"/>
        <w:bidi w:val="0"/>
        <w:spacing w:before="0" w:after="0"/>
        <w:jc w:val="both"/>
        <w:rPr/>
      </w:pPr>
      <w:r>
        <w:rPr/>
      </w:r>
    </w:p>
    <w:p>
      <w:pPr>
        <w:pStyle w:val="TextBody"/>
        <w:bidi w:val="0"/>
        <w:spacing w:lineRule="auto" w:line="268" w:before="0" w:after="0"/>
        <w:jc w:val="left"/>
        <w:rPr/>
      </w:pPr>
      <w:r>
        <w:rPr>
          <w:color w:val="0A0A0A"/>
        </w:rPr>
        <w:t>“</w:t>
      </w:r>
      <w:r>
        <w:rPr>
          <w:rFonts w:ascii="Arial;sans-serif" w:hAnsi="Arial;sans-serif"/>
          <w:b w:val="false"/>
          <w:color w:val="0A0A0A"/>
          <w:sz w:val="20"/>
        </w:rPr>
        <w:t xml:space="preserve">Sun Country is pleased to report our twelfth consecutive profitable quarter with GAAP EPS of </w:t>
      </w:r>
      <w:r>
        <w:rPr>
          <w:rFonts w:ascii="Arial;sans-serif" w:hAnsi="Arial;sans-serif"/>
          <w:b w:val="false"/>
          <w:color w:val="000000"/>
          <w:sz w:val="20"/>
        </w:rPr>
        <w:t xml:space="preserve">$0.12 </w:t>
      </w:r>
      <w:r>
        <w:rPr>
          <w:rFonts w:ascii="Arial;sans-serif" w:hAnsi="Arial;sans-serif"/>
          <w:b w:val="false"/>
          <w:color w:val="0A0A0A"/>
          <w:sz w:val="20"/>
        </w:rPr>
        <w:t xml:space="preserve">and adjusted diluted EPS of </w:t>
      </w:r>
      <w:r>
        <w:rPr>
          <w:rFonts w:ascii="Arial;sans-serif" w:hAnsi="Arial;sans-serif"/>
          <w:b w:val="false"/>
          <w:color w:val="000000"/>
          <w:sz w:val="20"/>
        </w:rPr>
        <w:t>$0.14</w:t>
      </w:r>
      <w:r>
        <w:rPr>
          <w:rFonts w:ascii="Arial;sans-serif" w:hAnsi="Arial;sans-serif"/>
          <w:b w:val="false"/>
          <w:color w:val="0A0A0A"/>
          <w:sz w:val="13"/>
        </w:rPr>
        <w:t>(2)</w:t>
      </w:r>
      <w:r>
        <w:rPr>
          <w:rFonts w:ascii="Arial;sans-serif" w:hAnsi="Arial;sans-serif"/>
          <w:b w:val="false"/>
          <w:color w:val="0A0A0A"/>
          <w:sz w:val="20"/>
        </w:rPr>
        <w:t xml:space="preserve">,” said Jude Bricker, President and Chief Executive Officer of Sun Country. “We are steadily incorporating our eight additional cargo aircraft throughout the second and third quarters. As of the end of the second quarter, we had 15 cargo aircraft in service and expect all 20 freighters to be in-service by the end of the third quarter. As of today, all eight of the additional cargo aircraft have been delivered to us and five are in-service, bringing our in-service cargo aircraft to 17. To successfully accommodate this growth in cargo, we reduced our passenger service business as demonstrated by the </w:t>
      </w:r>
      <w:r>
        <w:rPr>
          <w:rFonts w:ascii="Arial;sans-serif" w:hAnsi="Arial;sans-serif"/>
          <w:b w:val="false"/>
          <w:color w:val="000000"/>
          <w:sz w:val="20"/>
        </w:rPr>
        <w:t>3.9%</w:t>
      </w:r>
      <w:r>
        <w:rPr>
          <w:color w:val="0A0A0A"/>
        </w:rPr>
        <w:t xml:space="preserve"> </w:t>
      </w:r>
      <w:r>
        <w:rPr>
          <w:rFonts w:ascii="Arial;sans-serif" w:hAnsi="Arial;sans-serif"/>
          <w:b w:val="false"/>
          <w:color w:val="0A0A0A"/>
          <w:sz w:val="20"/>
        </w:rPr>
        <w:t xml:space="preserve">decline in total ASMs, with a notable reduction of our scheduled service business as demonstrated by the </w:t>
      </w:r>
      <w:r>
        <w:rPr>
          <w:rFonts w:ascii="Arial;sans-serif" w:hAnsi="Arial;sans-serif"/>
          <w:b w:val="false"/>
          <w:color w:val="000000"/>
          <w:sz w:val="20"/>
        </w:rPr>
        <w:t>6.2% decline in scheduled service ASMs. That being said, we have seen healthy demand with scheduled service TRASM</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increasing 3.7% and total fare increasing 6.5% versus the second quarter last year. This has contributed to a second quarter GAAP pre-tax margin of 3.2% and an adjusted pre-tax margin</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3.9%, which grew by 2.0 and 2.1 percentage points year-over-year respectively. This is another terrific result produced by our dedicated and hard-working employees who delivered in a challenging environment.”</w:t>
      </w:r>
    </w:p>
    <w:p>
      <w:pPr>
        <w:pStyle w:val="TextBody"/>
        <w:bidi w:val="0"/>
        <w:spacing w:before="0" w:after="0"/>
        <w:jc w:val="left"/>
        <w:rPr/>
      </w:pPr>
      <w:r>
        <w:rPr/>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Overview of Second Quarter</w:t>
      </w:r>
    </w:p>
    <w:tbl>
      <w:tblPr>
        <w:tblW w:w="7686" w:type="dxa"/>
        <w:jc w:val="left"/>
        <w:tblInd w:w="0" w:type="dxa"/>
        <w:tblLayout w:type="fixed"/>
        <w:tblCellMar>
          <w:top w:w="28" w:type="dxa"/>
          <w:left w:w="28" w:type="dxa"/>
          <w:bottom w:w="28" w:type="dxa"/>
          <w:right w:w="28" w:type="dxa"/>
        </w:tblCellMar>
      </w:tblPr>
      <w:tblGrid>
        <w:gridCol w:w="1517"/>
        <w:gridCol w:w="1330"/>
        <w:gridCol w:w="1338"/>
        <w:gridCol w:w="268"/>
        <w:gridCol w:w="822"/>
        <w:gridCol w:w="138"/>
        <w:gridCol w:w="268"/>
        <w:gridCol w:w="822"/>
        <w:gridCol w:w="138"/>
        <w:gridCol w:w="323"/>
        <w:gridCol w:w="323"/>
        <w:gridCol w:w="399"/>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2025</w:t>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2024</w:t>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263.6 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254.4 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3.6 </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31.5 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177.4 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263.0 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 earnings per share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0.12</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300.0 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04" w:type="dxa"/>
        <w:jc w:val="left"/>
        <w:tblInd w:w="0" w:type="dxa"/>
        <w:tblLayout w:type="fixed"/>
        <w:tblCellMar>
          <w:top w:w="28" w:type="dxa"/>
          <w:left w:w="28" w:type="dxa"/>
          <w:bottom w:w="28" w:type="dxa"/>
          <w:right w:w="28" w:type="dxa"/>
        </w:tblCellMar>
      </w:tblPr>
      <w:tblGrid>
        <w:gridCol w:w="1517"/>
        <w:gridCol w:w="1330"/>
        <w:gridCol w:w="1338"/>
        <w:gridCol w:w="301"/>
        <w:gridCol w:w="773"/>
        <w:gridCol w:w="155"/>
        <w:gridCol w:w="301"/>
        <w:gridCol w:w="773"/>
        <w:gridCol w:w="155"/>
        <w:gridCol w:w="281"/>
        <w:gridCol w:w="281"/>
        <w:gridCol w:w="399"/>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2025</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2024</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Operating Income </w:t>
            </w:r>
            <w:r>
              <w:rPr>
                <w:rFonts w:ascii="Arial;sans-serif" w:hAnsi="Arial;sans-serif"/>
                <w:b w:val="false"/>
                <w:color w:val="0A0A0A"/>
                <w:sz w:val="13"/>
              </w:rPr>
              <w:t>(2)</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17.9</w:t>
            </w:r>
          </w:p>
        </w:tc>
        <w:tc>
          <w:tcPr>
            <w:tcW w:w="3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7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13.9 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28.2</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Income Before Income Tax </w:t>
            </w:r>
            <w:r>
              <w:rPr>
                <w:rFonts w:ascii="Arial;sans-serif" w:hAnsi="Arial;sans-serif"/>
                <w:b w:val="false"/>
                <w:color w:val="0A0A0A"/>
                <w:sz w:val="13"/>
              </w:rPr>
              <w:t>(2)</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118.4</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Net Income </w:t>
            </w:r>
            <w:r>
              <w:rPr>
                <w:rFonts w:ascii="Arial;sans-serif" w:hAnsi="Arial;sans-serif"/>
                <w:b w:val="false"/>
                <w:color w:val="0A0A0A"/>
                <w:sz w:val="13"/>
              </w:rPr>
              <w:t>(2)</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158.7</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diluted earnings per share </w:t>
            </w:r>
            <w:r>
              <w:rPr>
                <w:rFonts w:ascii="Arial;sans-serif" w:hAnsi="Arial;sans-serif"/>
                <w:b w:val="false"/>
                <w:color w:val="0A0A0A"/>
                <w:sz w:val="13"/>
              </w:rPr>
              <w:t>(2)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133.3</w:t>
            </w:r>
          </w:p>
        </w:tc>
      </w:tr>
    </w:tbl>
    <w:tbl>
      <w:tblPr>
        <w:tblW w:w="7392" w:type="dxa"/>
        <w:jc w:val="left"/>
        <w:tblInd w:w="0" w:type="dxa"/>
        <w:tblLayout w:type="fixed"/>
        <w:tblCellMar>
          <w:top w:w="28" w:type="dxa"/>
          <w:left w:w="28" w:type="dxa"/>
          <w:bottom w:w="28" w:type="dxa"/>
          <w:right w:w="28" w:type="dxa"/>
        </w:tblCellMar>
      </w:tblPr>
      <w:tblGrid>
        <w:gridCol w:w="1517"/>
        <w:gridCol w:w="1330"/>
        <w:gridCol w:w="1338"/>
        <w:gridCol w:w="245"/>
        <w:gridCol w:w="752"/>
        <w:gridCol w:w="126"/>
        <w:gridCol w:w="245"/>
        <w:gridCol w:w="752"/>
        <w:gridCol w:w="126"/>
        <w:gridCol w:w="281"/>
        <w:gridCol w:w="281"/>
        <w:gridCol w:w="399"/>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2025</w:t>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2024</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7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590.3 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7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565.9 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4.3 </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14.2 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16.1 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 earnings per share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0.78</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16.4 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94" w:type="dxa"/>
        <w:jc w:val="left"/>
        <w:tblInd w:w="0" w:type="dxa"/>
        <w:tblLayout w:type="fixed"/>
        <w:tblCellMar>
          <w:top w:w="28" w:type="dxa"/>
          <w:left w:w="28" w:type="dxa"/>
          <w:bottom w:w="28" w:type="dxa"/>
          <w:right w:w="28" w:type="dxa"/>
        </w:tblCellMar>
      </w:tblPr>
      <w:tblGrid>
        <w:gridCol w:w="1517"/>
        <w:gridCol w:w="1330"/>
        <w:gridCol w:w="1338"/>
        <w:gridCol w:w="275"/>
        <w:gridCol w:w="707"/>
        <w:gridCol w:w="142"/>
        <w:gridCol w:w="275"/>
        <w:gridCol w:w="707"/>
        <w:gridCol w:w="142"/>
        <w:gridCol w:w="281"/>
        <w:gridCol w:w="281"/>
        <w:gridCol w:w="399"/>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2025</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2024</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Operating Income </w:t>
            </w:r>
            <w:r>
              <w:rPr>
                <w:rFonts w:ascii="Arial;sans-serif" w:hAnsi="Arial;sans-serif"/>
                <w:b w:val="false"/>
                <w:color w:val="0A0A0A"/>
                <w:sz w:val="13"/>
              </w:rPr>
              <w:t>(2)</w:t>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4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77.6</w:t>
            </w:r>
          </w:p>
        </w:tc>
        <w:tc>
          <w:tcPr>
            <w:tcW w:w="2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70.6 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9.9</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Income Before Income Tax </w:t>
            </w:r>
            <w:r>
              <w:rPr>
                <w:rFonts w:ascii="Arial;sans-serif" w:hAnsi="Arial;sans-serif"/>
                <w:b w:val="false"/>
                <w:color w:val="0A0A0A"/>
                <w:sz w:val="13"/>
              </w:rPr>
              <w:t>(2)</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18.5</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Net Income </w:t>
            </w:r>
            <w:r>
              <w:rPr>
                <w:rFonts w:ascii="Arial;sans-serif" w:hAnsi="Arial;sans-serif"/>
                <w:b w:val="false"/>
                <w:color w:val="0A0A0A"/>
                <w:sz w:val="13"/>
              </w:rPr>
              <w:t>(2)</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39.5 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20.4</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diluted earnings per share </w:t>
            </w:r>
            <w:r>
              <w:rPr>
                <w:rFonts w:ascii="Arial;sans-serif" w:hAnsi="Arial;sans-serif"/>
                <w:b w:val="false"/>
                <w:color w:val="0A0A0A"/>
                <w:sz w:val="13"/>
              </w:rPr>
              <w:t>(2)</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0.72 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19.4</w:t>
            </w:r>
          </w:p>
        </w:tc>
      </w:tr>
    </w:tbl>
    <w:p>
      <w:pPr>
        <w:pStyle w:val="TextBody"/>
        <w:bidi w:val="0"/>
        <w:spacing w:lineRule="auto" w:line="288"/>
        <w:jc w:val="left"/>
        <w:rPr>
          <w:rFonts w:ascii="Arial;sans-serif" w:hAnsi="Arial;sans-serif"/>
          <w:b w:val="false"/>
          <w:color w:val="000000"/>
          <w:sz w:val="12"/>
        </w:rPr>
      </w:pPr>
      <w:r>
        <w:rPr>
          <w:rFonts w:ascii="Arial;sans-serif" w:hAnsi="Arial;sans-serif"/>
          <w:b w:val="false"/>
          <w:color w:val="000000"/>
          <w:sz w:val="12"/>
        </w:rPr>
        <w:t>Amounts presented in the tables above may not recalculate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w:t>
                      </w:r>
                    </w:p>
                  </w:txbxContent>
                </v:textbox>
                <w10:wrap type="none"/>
              </v:rect>
            </w:pict>
          </mc:Fallback>
        </mc:AlternateContent>
      </w:r>
    </w:p>
    <w:p>
      <w:pPr>
        <w:pStyle w:val="TextBody"/>
        <w:bidi w:val="0"/>
        <w:spacing w:lineRule="auto" w:line="288" w:before="120" w:after="283"/>
        <w:jc w:val="left"/>
        <w:rPr/>
      </w:pPr>
      <w:r>
        <w:rPr>
          <w:rFonts w:ascii="Arial;sans-serif" w:hAnsi="Arial;sans-serif"/>
          <w:b w:val="false"/>
          <w:color w:val="0A0A0A"/>
          <w:sz w:val="20"/>
        </w:rPr>
        <w:t>For the quarter ended June 30, 2025, Sun Country reported net income of approximately $7 million and income before income tax of $9 million, on $264 million of revenue. Adjusted income before income tax</w:t>
      </w:r>
      <w:r>
        <w:rPr>
          <w:rFonts w:ascii="Arial;sans-serif" w:hAnsi="Arial;sans-serif"/>
          <w:b w:val="false"/>
          <w:color w:val="0A0A0A"/>
          <w:sz w:val="13"/>
        </w:rPr>
        <w:t>(2)</w:t>
      </w:r>
      <w:r>
        <w:rPr>
          <w:color w:val="0A0A0A"/>
        </w:rPr>
        <w:t xml:space="preserve"> </w:t>
      </w:r>
      <w:r>
        <w:rPr>
          <w:rFonts w:ascii="Arial;sans-serif" w:hAnsi="Arial;sans-serif"/>
          <w:b w:val="false"/>
          <w:color w:val="0A0A0A"/>
          <w:sz w:val="20"/>
        </w:rPr>
        <w:t>for the quarter was approximately $10 million. GAAP operating income during the quarter was $16 million, while adjusted operating income</w:t>
      </w:r>
      <w:r>
        <w:rPr>
          <w:rFonts w:ascii="Arial;sans-serif" w:hAnsi="Arial;sans-serif"/>
          <w:b w:val="false"/>
          <w:color w:val="0A0A0A"/>
          <w:sz w:val="13"/>
        </w:rPr>
        <w:t>(2)</w:t>
      </w:r>
      <w:r>
        <w:rPr>
          <w:color w:val="0A0A0A"/>
        </w:rPr>
        <w:t xml:space="preserve"> </w:t>
      </w:r>
      <w:r>
        <w:rPr>
          <w:rFonts w:ascii="Arial;sans-serif" w:hAnsi="Arial;sans-serif"/>
          <w:b w:val="false"/>
          <w:color w:val="0A0A0A"/>
          <w:sz w:val="20"/>
        </w:rPr>
        <w:t>was $18 million, and GAAP operating margin was 6.2% and adjusted operating margin</w:t>
      </w:r>
      <w:r>
        <w:rPr>
          <w:rFonts w:ascii="Arial;sans-serif" w:hAnsi="Arial;sans-serif"/>
          <w:b w:val="false"/>
          <w:color w:val="0A0A0A"/>
          <w:sz w:val="13"/>
        </w:rPr>
        <w:t>(2)</w:t>
      </w:r>
      <w:r>
        <w:rPr>
          <w:color w:val="0A0A0A"/>
        </w:rPr>
        <w:t xml:space="preserve"> </w:t>
      </w:r>
      <w:r>
        <w:rPr>
          <w:rFonts w:ascii="Arial;sans-serif" w:hAnsi="Arial;sans-serif"/>
          <w:b w:val="false"/>
          <w:color w:val="0A0A0A"/>
          <w:sz w:val="20"/>
        </w:rPr>
        <w:t>was 6.8%</w:t>
      </w:r>
      <w:r>
        <w:rPr>
          <w:rFonts w:ascii="Arial;sans-serif" w:hAnsi="Arial;sans-serif"/>
          <w:b w:val="false"/>
          <w:color w:val="0A0A0A"/>
          <w:sz w:val="13"/>
        </w:rPr>
        <w:t>.</w:t>
      </w:r>
      <w:r>
        <w:rPr>
          <w:color w:val="0A0A0A"/>
        </w:rPr>
        <w:t xml:space="preserve"> </w:t>
      </w:r>
    </w:p>
    <w:p>
      <w:pPr>
        <w:pStyle w:val="TextBody"/>
        <w:bidi w:val="0"/>
        <w:spacing w:before="0" w:after="0"/>
        <w:jc w:val="left"/>
        <w:rPr/>
      </w:pPr>
      <w:r>
        <w:rPr/>
      </w:r>
    </w:p>
    <w:p>
      <w:pPr>
        <w:pStyle w:val="TextBody"/>
        <w:bidi w:val="0"/>
        <w:spacing w:lineRule="auto" w:line="268" w:before="0" w:after="0"/>
        <w:jc w:val="left"/>
        <w:rPr/>
      </w:pPr>
      <w:r>
        <w:rPr>
          <w:color w:val="0A0A0A"/>
        </w:rPr>
        <w:t>“</w:t>
      </w:r>
      <w:r>
        <w:rPr>
          <w:rFonts w:ascii="Arial;sans-serif" w:hAnsi="Arial;sans-serif"/>
          <w:b w:val="false"/>
          <w:color w:val="0A0A0A"/>
          <w:sz w:val="20"/>
        </w:rPr>
        <w:t xml:space="preserve">Our second quarter shows tangible results of our diversified business model,” said Bill Trousdale, Interim Chief Financial Officer. “Cargo revenue increased </w:t>
      </w:r>
      <w:r>
        <w:rPr>
          <w:rFonts w:ascii="Arial;sans-serif" w:hAnsi="Arial;sans-serif"/>
          <w:b w:val="false"/>
          <w:color w:val="000000"/>
          <w:sz w:val="20"/>
        </w:rPr>
        <w:t>36.8% while charter revenue increased 6.4%. Cargo block hours were slightly lower than expected due to the timing of cargo aircraft deliveries, but we were able to offset the decrease in cargo block hours with an increase in charter flying. CASM grew by 6.3%</w:t>
      </w:r>
      <w:r>
        <w:rPr>
          <w:color w:val="000000"/>
        </w:rPr>
        <w:t xml:space="preserve"> </w:t>
      </w:r>
      <w:r>
        <w:rPr>
          <w:rFonts w:ascii="Arial;sans-serif" w:hAnsi="Arial;sans-serif"/>
          <w:b w:val="false"/>
          <w:color w:val="000000"/>
          <w:sz w:val="20"/>
        </w:rPr>
        <w:t>while adjusted CASM</w:t>
      </w: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increased 11.3% mostly due to the reduction of our scheduled service capacity to accommodate the planned growth of our cargo segment. We anticipate CASM and adjusted CASM</w:t>
      </w: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to remain elevated until we begin growing our scheduled service business again in the second half of 2026.”</w:t>
      </w:r>
    </w:p>
    <w:p>
      <w:pPr>
        <w:pStyle w:val="TextBody"/>
        <w:bidi w:val="0"/>
        <w:spacing w:before="0" w:after="0"/>
        <w:jc w:val="left"/>
        <w:rPr/>
      </w:pPr>
      <w:r>
        <w:rPr/>
      </w:r>
    </w:p>
    <w:p>
      <w:pPr>
        <w:pStyle w:val="TextBody"/>
        <w:bidi w:val="0"/>
        <w:spacing w:lineRule="auto" w:line="26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 xml:space="preserve">Notable Highlights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Took delivery of all eight cargo aircraft under the new agreement signed in June 2024. Five of those eight are currently in service, and the other three are expected to be in service by the end of the third quarter. By the end of the third quarter, we will operate 20 cargo aircraft.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Extended leases on two of the five passenger aircraft that are on lease to other operators. The current expected re-delivery schedule of the five leased aircraft includes two in the fourth quarter of 2025, one in the second quarter of 2026, one in the third quarter of 2026, and one in the fourth quarter of 2026.</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In May, took re-delivery of one of the Boeing 737-900ER aircraft that was previously on lease. This aircraft is expected to enter service by the end of the third quarter.</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Retired one 737-800 in the second quarter. The Company currently expects to end 2025 with 45 passenger aircraft and 20 cargo aircraft.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Extended the selling schedule through April 28, 2026.</w:t>
      </w:r>
    </w:p>
    <w:p>
      <w:pPr>
        <w:pStyle w:val="TextBody"/>
        <w:bidi w:val="0"/>
        <w:spacing w:lineRule="auto" w:line="288" w:before="240" w:after="283"/>
        <w:jc w:val="both"/>
        <w:rPr>
          <w:rFonts w:ascii="Arial;sans-serif" w:hAnsi="Arial;sans-serif"/>
          <w:b/>
          <w:color w:val="0A0A0A"/>
          <w:sz w:val="20"/>
          <w:shd w:fill="FFFFFF" w:val="clear"/>
        </w:rPr>
      </w:pPr>
      <w:r>
        <w:rPr>
          <w:rFonts w:ascii="Arial;sans-serif" w:hAnsi="Arial;sans-serif"/>
          <w:b/>
          <w:color w:val="0A0A0A"/>
          <w:sz w:val="20"/>
          <w:shd w:fill="FFFFFF" w:val="clear"/>
        </w:rPr>
        <w:t>Capacity</w:t>
      </w:r>
    </w:p>
    <w:p>
      <w:pPr>
        <w:pStyle w:val="TextBody"/>
        <w:bidi w:val="0"/>
        <w:spacing w:lineRule="auto" w:line="288" w:before="240" w:after="283"/>
        <w:jc w:val="left"/>
        <w:rPr/>
      </w:pPr>
      <w:r>
        <w:rPr>
          <w:rFonts w:ascii="Arial;sans-serif" w:hAnsi="Arial;sans-serif"/>
          <w:b w:val="false"/>
          <w:color w:val="0A0A0A"/>
          <w:sz w:val="20"/>
          <w:shd w:fill="FFFFFF" w:val="clear"/>
        </w:rPr>
        <w:t xml:space="preserve">System block hours flown during the second quarter of 2025 declined by 0.5% year-over-year. This was mainly due to the </w:t>
      </w:r>
      <w:r>
        <w:rPr>
          <w:rFonts w:ascii="Arial;sans-serif" w:hAnsi="Arial;sans-serif"/>
          <w:b w:val="false"/>
          <w:color w:val="000000"/>
          <w:sz w:val="20"/>
        </w:rPr>
        <w:t xml:space="preserve">6.2% </w:t>
      </w:r>
      <w:r>
        <w:rPr>
          <w:rFonts w:ascii="Arial;sans-serif" w:hAnsi="Arial;sans-serif"/>
          <w:b w:val="false"/>
          <w:color w:val="0A0A0A"/>
          <w:sz w:val="20"/>
          <w:shd w:fill="FFFFFF" w:val="clear"/>
        </w:rPr>
        <w:t xml:space="preserve">decrease in scheduled service ASMs to support the </w:t>
      </w:r>
      <w:r>
        <w:rPr>
          <w:rFonts w:ascii="Arial;sans-serif" w:hAnsi="Arial;sans-serif"/>
          <w:b w:val="false"/>
          <w:color w:val="000000"/>
          <w:sz w:val="20"/>
        </w:rPr>
        <w:t>9.5% increase in cargo block hours and the 7.9% increase in charter block hours</w:t>
      </w:r>
      <w:r>
        <w:rPr>
          <w:rFonts w:ascii="Arial;sans-serif" w:hAnsi="Arial;sans-serif"/>
          <w:b w:val="false"/>
          <w:color w:val="0A0A0A"/>
          <w:sz w:val="20"/>
          <w:shd w:fill="FFFFFF" w:val="clear"/>
        </w:rPr>
        <w:t>. Scheduled service ASMs are expected to decline again in the third quarter 2025 by approximately 10% to allow for planned cargo segment growth.</w:t>
      </w:r>
    </w:p>
    <w:p>
      <w:pPr>
        <w:pStyle w:val="TextBody"/>
        <w:bidi w:val="0"/>
        <w:spacing w:lineRule="auto" w:line="288" w:before="240" w:after="283"/>
        <w:jc w:val="both"/>
        <w:rPr>
          <w:rFonts w:ascii="Arial;sans-serif" w:hAnsi="Arial;sans-serif"/>
          <w:b/>
          <w:color w:val="0A0A0A"/>
          <w:sz w:val="20"/>
          <w:shd w:fill="FFFFFF" w:val="clear"/>
        </w:rPr>
      </w:pPr>
      <w:r>
        <w:rPr>
          <w:rFonts w:ascii="Arial;sans-serif" w:hAnsi="Arial;sans-serif"/>
          <w:b/>
          <w:color w:val="0A0A0A"/>
          <w:sz w:val="20"/>
          <w:shd w:fill="FFFFFF" w:val="clear"/>
        </w:rPr>
        <w:t xml:space="preserve">Revenue </w:t>
      </w:r>
    </w:p>
    <w:p>
      <w:pPr>
        <w:pStyle w:val="TextBody"/>
        <w:bidi w:val="0"/>
        <w:spacing w:lineRule="auto" w:line="288" w:before="240" w:after="283"/>
        <w:jc w:val="left"/>
        <w:rPr/>
      </w:pPr>
      <w:r>
        <w:rPr>
          <w:rFonts w:ascii="Arial;sans-serif" w:hAnsi="Arial;sans-serif"/>
          <w:b w:val="false"/>
          <w:color w:val="000000"/>
          <w:sz w:val="20"/>
        </w:rPr>
        <w:t>Scheduled service demand remained robust during the quarter, which helped to offset the decline in scheduled service capacity. T</w:t>
      </w:r>
      <w:r>
        <w:rPr>
          <w:rFonts w:ascii="Arial;sans-serif" w:hAnsi="Arial;sans-serif"/>
          <w:b w:val="false"/>
          <w:color w:val="0A0A0A"/>
          <w:sz w:val="20"/>
          <w:shd w:fill="FFFFFF" w:val="clear"/>
        </w:rPr>
        <w:t xml:space="preserve">he Company reported total revenue of $264 million for the second quarter, which was 3.6% greater than the second quarter of 2024. </w:t>
      </w:r>
      <w:r>
        <w:rPr>
          <w:rFonts w:ascii="Arial;sans-serif" w:hAnsi="Arial;sans-serif"/>
          <w:b w:val="false"/>
          <w:color w:val="000000"/>
          <w:sz w:val="20"/>
          <w:shd w:fill="FFFFFF" w:val="clear"/>
        </w:rPr>
        <w:t>Scheduled service TRASM</w:t>
      </w:r>
      <w:r>
        <w:rPr>
          <w:rFonts w:ascii="Arial;sans-serif" w:hAnsi="Arial;sans-serif"/>
          <w:b w:val="false"/>
          <w:color w:val="000000"/>
          <w:sz w:val="13"/>
          <w:shd w:fill="FFFFFF" w:val="clear"/>
        </w:rPr>
        <w:t>(3)</w:t>
      </w:r>
      <w:r>
        <w:rPr>
          <w:color w:val="000000"/>
          <w:shd w:fill="FFFFFF" w:val="clear"/>
        </w:rPr>
        <w:t xml:space="preserve"> </w:t>
      </w:r>
      <w:r>
        <w:rPr>
          <w:rFonts w:ascii="Arial;sans-serif" w:hAnsi="Arial;sans-serif"/>
          <w:b w:val="false"/>
          <w:color w:val="000000"/>
          <w:sz w:val="20"/>
          <w:shd w:fill="FFFFFF" w:val="clear"/>
        </w:rPr>
        <w:t xml:space="preserve">of 10.40 cents increased 3.7% year-over-year, while scheduled service ASMs decreased 6.2%. The second quarter 2025 total fare per scheduled passenger of $151 was higher than </w:t>
      </w:r>
      <w:r>
        <w:rPr>
          <w:rFonts w:ascii="Arial;sans-serif" w:hAnsi="Arial;sans-serif"/>
          <w:b w:val="false"/>
          <w:color w:val="0A0A0A"/>
          <w:sz w:val="20"/>
          <w:shd w:fill="FFFFFF" w:val="clear"/>
        </w:rPr>
        <w:t>second</w:t>
      </w:r>
      <w:r>
        <w:rPr>
          <w:color w:val="000000"/>
          <w:shd w:fill="FFFFFF" w:val="clear"/>
        </w:rPr>
        <w:t xml:space="preserve"> </w:t>
      </w:r>
      <w:r>
        <w:rPr>
          <w:rFonts w:ascii="Arial;sans-serif" w:hAnsi="Arial;sans-serif"/>
          <w:b w:val="false"/>
          <w:color w:val="000000"/>
          <w:sz w:val="20"/>
          <w:shd w:fill="FFFFFF" w:val="clear"/>
        </w:rPr>
        <w:t xml:space="preserve">quarter 2024 by 6.5%, partially offset by a </w:t>
      </w:r>
      <w:r>
        <w:rPr>
          <w:rFonts w:ascii="Arial;sans-serif" w:hAnsi="Arial;sans-serif"/>
          <w:b w:val="false"/>
          <w:color w:val="000000"/>
          <w:sz w:val="20"/>
        </w:rPr>
        <w:t>1.3 percentage point decline in load factor year-over-year</w:t>
      </w:r>
      <w:r>
        <w:rPr>
          <w:rFonts w:ascii="Arial;sans-serif" w:hAnsi="Arial;sans-serif"/>
          <w:b w:val="false"/>
          <w:color w:val="000000"/>
          <w:sz w:val="20"/>
          <w:shd w:fill="FFFFFF" w:val="clear"/>
        </w:rPr>
        <w:t xml:space="preserve">. The Company’s </w:t>
      </w:r>
      <w:r>
        <w:rPr>
          <w:rFonts w:ascii="Arial;sans-serif" w:hAnsi="Arial;sans-serif"/>
          <w:b w:val="false"/>
          <w:color w:val="0A0A0A"/>
          <w:sz w:val="20"/>
          <w:shd w:fill="FFFFFF" w:val="clear"/>
        </w:rPr>
        <w:t>second</w:t>
      </w:r>
      <w:r>
        <w:rPr>
          <w:color w:val="000000"/>
          <w:shd w:fill="FFFFFF" w:val="clear"/>
        </w:rPr>
        <w:t xml:space="preserve"> </w:t>
      </w:r>
      <w:r>
        <w:rPr>
          <w:rFonts w:ascii="Arial;sans-serif" w:hAnsi="Arial;sans-serif"/>
          <w:b w:val="false"/>
          <w:color w:val="000000"/>
          <w:sz w:val="20"/>
          <w:shd w:fill="FFFFFF" w:val="clear"/>
        </w:rPr>
        <w:t>quarter charter revenue was $54 million, an increase of 6.4% year-over-year, slightly below charter block hour growth of 7.9%. This variance was mainly driven by lower fuel cost reimbursements from Sun Country charter customers, resulting from lower fuel prices in the current year.</w:t>
      </w:r>
    </w:p>
    <w:p>
      <w:pPr>
        <w:pStyle w:val="TextBody"/>
        <w:bidi w:val="0"/>
        <w:spacing w:lineRule="auto" w:line="288" w:before="240" w:after="283"/>
        <w:jc w:val="left"/>
        <w:rPr/>
      </w:pPr>
      <w:r>
        <w:rPr>
          <w:rFonts w:ascii="Arial;sans-serif" w:hAnsi="Arial;sans-serif"/>
          <w:b w:val="false"/>
          <w:color w:val="000000"/>
          <w:sz w:val="20"/>
          <w:shd w:fill="FFFFFF" w:val="clear"/>
        </w:rPr>
        <w:t xml:space="preserve">In the second quarter of 2025, cargo revenue was $35 million, a 36.8% increase versus the second quarter of 2024, on a </w:t>
      </w:r>
      <w:r>
        <w:rPr>
          <w:rFonts w:ascii="Arial;sans-serif" w:hAnsi="Arial;sans-serif"/>
          <w:b w:val="false"/>
          <w:color w:val="000000"/>
          <w:sz w:val="20"/>
        </w:rPr>
        <w:t xml:space="preserve">9.5% increase in cargo block hours. </w:t>
      </w:r>
      <w:r>
        <w:rPr>
          <w:rFonts w:ascii="Arial;sans-serif" w:hAnsi="Arial;sans-serif"/>
          <w:b w:val="false"/>
          <w:color w:val="000000"/>
          <w:sz w:val="20"/>
          <w:shd w:fill="FFFFFF" w:val="clear"/>
        </w:rPr>
        <w:t>This improvement was primarily driven by the increase in the number of cargo aircraft in service and the new Amazon contract rates which went into effect in June 2024.</w:t>
      </w:r>
    </w:p>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Cost</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shd w:fill="FFFFFF" w:val="clear"/>
        </w:rPr>
        <w:t>Second</w:t>
      </w:r>
      <w:r>
        <w:rPr>
          <w:color w:val="0A0A0A"/>
          <w:shd w:fill="FFFFFF" w:val="clear"/>
        </w:rPr>
        <w:t xml:space="preserve"> </w:t>
      </w:r>
      <w:r>
        <w:rPr>
          <w:rFonts w:ascii="Arial;sans-serif" w:hAnsi="Arial;sans-serif"/>
          <w:b w:val="false"/>
          <w:color w:val="0A0A0A"/>
          <w:sz w:val="20"/>
          <w:shd w:fill="FFFFFF" w:val="clear"/>
        </w:rPr>
        <w:t xml:space="preserve">quarter CASM increased </w:t>
      </w:r>
      <w:r>
        <w:rPr>
          <w:rFonts w:ascii="Arial;sans-serif" w:hAnsi="Arial;sans-serif"/>
          <w:b w:val="false"/>
          <w:color w:val="000000"/>
          <w:sz w:val="20"/>
        </w:rPr>
        <w:t>6.3%,</w:t>
      </w:r>
      <w:r>
        <w:rPr>
          <w:color w:val="0A0A0A"/>
          <w:shd w:fill="FFFFFF" w:val="clear"/>
        </w:rPr>
        <w:t xml:space="preserve"> </w:t>
      </w:r>
      <w:r>
        <w:rPr>
          <w:rFonts w:ascii="Arial;sans-serif" w:hAnsi="Arial;sans-serif"/>
          <w:b w:val="false"/>
          <w:color w:val="0A0A0A"/>
          <w:sz w:val="20"/>
          <w:shd w:fill="FFFFFF" w:val="clear"/>
        </w:rPr>
        <w:t>while adjusted CASM</w:t>
      </w:r>
      <w:r>
        <w:rPr>
          <w:rFonts w:ascii="Arial;sans-serif" w:hAnsi="Arial;sans-serif"/>
          <w:b w:val="false"/>
          <w:color w:val="0A0A0A"/>
          <w:sz w:val="13"/>
          <w:shd w:fill="FFFFFF" w:val="clear"/>
        </w:rPr>
        <w:t>(4)</w:t>
      </w:r>
      <w:r>
        <w:rPr>
          <w:color w:val="0A0A0A"/>
          <w:shd w:fill="FFFFFF" w:val="clear"/>
        </w:rPr>
        <w:t xml:space="preserve"> </w:t>
      </w:r>
      <w:r>
        <w:rPr>
          <w:rFonts w:ascii="Arial;sans-serif" w:hAnsi="Arial;sans-serif"/>
          <w:b w:val="false"/>
          <w:color w:val="0A0A0A"/>
          <w:sz w:val="20"/>
          <w:shd w:fill="FFFFFF" w:val="clear"/>
        </w:rPr>
        <w:t xml:space="preserve">was up </w:t>
      </w:r>
      <w:r>
        <w:rPr>
          <w:rFonts w:ascii="Arial;sans-serif" w:hAnsi="Arial;sans-serif"/>
          <w:b w:val="false"/>
          <w:color w:val="000000"/>
          <w:sz w:val="20"/>
        </w:rPr>
        <w:t>11.3% year-over-year. T</w:t>
      </w:r>
      <w:r>
        <w:rPr>
          <w:rFonts w:ascii="Arial;sans-serif" w:hAnsi="Arial;sans-serif"/>
          <w:b w:val="false"/>
          <w:color w:val="0A0A0A"/>
          <w:sz w:val="20"/>
          <w:shd w:fill="FFFFFF" w:val="clear"/>
        </w:rPr>
        <w:t xml:space="preserve">otal GAAP operating expenses increased 2.2% year-over-year on a </w:t>
      </w:r>
      <w:r>
        <w:rPr>
          <w:rFonts w:ascii="Arial;sans-serif" w:hAnsi="Arial;sans-serif"/>
          <w:b w:val="false"/>
          <w:color w:val="000000"/>
          <w:sz w:val="20"/>
        </w:rPr>
        <w:t>0.5%</w:t>
      </w:r>
      <w:r>
        <w:rPr>
          <w:color w:val="0A0A0A"/>
          <w:shd w:fill="FFFFFF" w:val="clear"/>
        </w:rPr>
        <w:t xml:space="preserve"> </w:t>
      </w:r>
      <w:r>
        <w:rPr>
          <w:rFonts w:ascii="Arial;sans-serif" w:hAnsi="Arial;sans-serif"/>
          <w:b w:val="false"/>
          <w:color w:val="0A0A0A"/>
          <w:sz w:val="20"/>
          <w:shd w:fill="FFFFFF" w:val="clear"/>
        </w:rPr>
        <w:t xml:space="preserve">decrease in total block hours. Costs are expected to remain elevated throughout the remainder of this year due to the reduction of scheduled service flying to allow for increased cargo flying. This will continue to put pressure on costs until the Company adds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w:t>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A0A0A"/>
          <w:sz w:val="20"/>
          <w:shd w:fill="FFFFFF" w:val="clear"/>
        </w:rPr>
        <w:t xml:space="preserve">back scheduled service later in 2026. During the quarter, landing fees and airport rent increased 9.1% due to rate increases at airports, while the </w:t>
      </w:r>
      <w:r>
        <w:rPr>
          <w:rFonts w:ascii="Arial;sans-serif" w:hAnsi="Arial;sans-serif"/>
          <w:b w:val="false"/>
          <w:color w:val="000000"/>
          <w:sz w:val="20"/>
        </w:rPr>
        <w:t xml:space="preserve">14.0% increase in other operating expense was </w:t>
      </w:r>
      <w:r>
        <w:rPr>
          <w:rFonts w:ascii="Arial;sans-serif" w:hAnsi="Arial;sans-serif"/>
          <w:b w:val="false"/>
          <w:color w:val="0A0A0A"/>
          <w:sz w:val="20"/>
          <w:shd w:fill="FFFFFF" w:val="clear"/>
        </w:rPr>
        <w:t>primarily the result of an increase in operations and decreased activity from our engine part sales programs.</w:t>
      </w:r>
    </w:p>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Balance Sheet and Liquidity</w:t>
      </w:r>
    </w:p>
    <w:p>
      <w:pPr>
        <w:pStyle w:val="TextBody"/>
        <w:bidi w:val="0"/>
        <w:spacing w:lineRule="auto" w:line="288" w:before="240" w:after="283"/>
        <w:jc w:val="both"/>
        <w:rPr/>
      </w:pPr>
      <w:r>
        <w:rPr>
          <w:rFonts w:ascii="Arial;sans-serif" w:hAnsi="Arial;sans-serif"/>
          <w:b w:val="false"/>
          <w:color w:val="0A0A0A"/>
          <w:sz w:val="20"/>
          <w:shd w:fill="FFFFFF" w:val="clear"/>
        </w:rPr>
        <w:t>Total liquidity</w:t>
      </w:r>
      <w:r>
        <w:rPr>
          <w:rFonts w:ascii="Arial;sans-serif" w:hAnsi="Arial;sans-serif"/>
          <w:b w:val="false"/>
          <w:color w:val="0A0A0A"/>
          <w:sz w:val="13"/>
          <w:shd w:fill="FFFFFF" w:val="clear"/>
        </w:rPr>
        <w:t>(5)</w:t>
      </w:r>
      <w:r>
        <w:rPr>
          <w:color w:val="0A0A0A"/>
          <w:shd w:fill="FFFFFF" w:val="clear"/>
        </w:rPr>
        <w:t xml:space="preserve"> </w:t>
      </w:r>
      <w:r>
        <w:rPr>
          <w:rFonts w:ascii="Arial;sans-serif" w:hAnsi="Arial;sans-serif"/>
          <w:b w:val="false"/>
          <w:color w:val="0A0A0A"/>
          <w:sz w:val="20"/>
          <w:shd w:fill="FFFFFF" w:val="clear"/>
        </w:rPr>
        <w:t>was $207 million on June 30, 2025, while the Company’s net debt</w:t>
      </w:r>
      <w:r>
        <w:rPr>
          <w:rFonts w:ascii="Arial;sans-serif" w:hAnsi="Arial;sans-serif"/>
          <w:b w:val="false"/>
          <w:color w:val="0A0A0A"/>
          <w:sz w:val="13"/>
          <w:shd w:fill="FFFFFF" w:val="clear"/>
        </w:rPr>
        <w:t>(6)</w:t>
      </w:r>
      <w:r>
        <w:rPr>
          <w:color w:val="0A0A0A"/>
          <w:shd w:fill="FFFFFF" w:val="clear"/>
        </w:rPr>
        <w:t xml:space="preserve"> </w:t>
      </w:r>
      <w:r>
        <w:rPr>
          <w:rFonts w:ascii="Arial;sans-serif" w:hAnsi="Arial;sans-serif"/>
          <w:b w:val="false"/>
          <w:color w:val="0A0A0A"/>
          <w:sz w:val="20"/>
          <w:shd w:fill="FFFFFF" w:val="clear"/>
        </w:rPr>
        <w:t>was $431 million.</w:t>
      </w:r>
    </w:p>
    <w:p>
      <w:pPr>
        <w:pStyle w:val="TextBody"/>
        <w:bidi w:val="0"/>
        <w:spacing w:before="0" w:after="0"/>
        <w:jc w:val="left"/>
        <w:rPr/>
      </w:pPr>
      <w:r>
        <w:rPr/>
      </w:r>
    </w:p>
    <w:tbl>
      <w:tblPr>
        <w:tblW w:w="7962" w:type="dxa"/>
        <w:jc w:val="left"/>
        <w:tblInd w:w="0" w:type="dxa"/>
        <w:tblLayout w:type="fixed"/>
        <w:tblCellMar>
          <w:top w:w="28" w:type="dxa"/>
          <w:left w:w="28" w:type="dxa"/>
          <w:bottom w:w="28" w:type="dxa"/>
          <w:right w:w="28" w:type="dxa"/>
        </w:tblCellMar>
      </w:tblPr>
      <w:tblGrid>
        <w:gridCol w:w="1752"/>
        <w:gridCol w:w="1544"/>
        <w:gridCol w:w="1549"/>
        <w:gridCol w:w="255"/>
        <w:gridCol w:w="783"/>
        <w:gridCol w:w="132"/>
        <w:gridCol w:w="109"/>
        <w:gridCol w:w="109"/>
        <w:gridCol w:w="109"/>
        <w:gridCol w:w="338"/>
        <w:gridCol w:w="1036"/>
        <w:gridCol w:w="246"/>
      </w:tblGrid>
      <w:tr>
        <w:trPr/>
        <w:tc>
          <w:tcPr>
            <w:tcW w:w="175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 - amounts may not recalculate due to rounding)</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4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 Available Under Revolving Credit Facility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Liquidity</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 - amounts may not recalculate due to rounding)</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4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w:t>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Obligations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 and Lease Obligations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Debt</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438.2 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Fleet</w:t>
      </w:r>
    </w:p>
    <w:p>
      <w:pPr>
        <w:pStyle w:val="TextBody"/>
        <w:bidi w:val="0"/>
        <w:spacing w:lineRule="auto" w:line="288" w:before="240" w:after="100"/>
        <w:jc w:val="both"/>
        <w:rPr/>
      </w:pPr>
      <w:r>
        <w:rPr>
          <w:rFonts w:ascii="Arial;sans-serif" w:hAnsi="Arial;sans-serif"/>
          <w:b w:val="false"/>
          <w:color w:val="000000"/>
          <w:sz w:val="20"/>
          <w:shd w:fill="FFFFFF" w:val="clear"/>
        </w:rPr>
        <w:t xml:space="preserve">As of June 30, 2025, the Company had 45 aircraft in its passenger service fleet, </w:t>
      </w:r>
      <w:r>
        <w:rPr>
          <w:rFonts w:ascii="Arial;sans-serif" w:hAnsi="Arial;sans-serif"/>
          <w:b w:val="false"/>
          <w:color w:val="000000"/>
          <w:sz w:val="20"/>
        </w:rPr>
        <w:t>19</w:t>
      </w:r>
      <w:r>
        <w:rPr>
          <w:color w:val="000000"/>
          <w:shd w:fill="FFFFFF" w:val="clear"/>
        </w:rPr>
        <w:t xml:space="preserve"> </w:t>
      </w:r>
      <w:r>
        <w:rPr>
          <w:rFonts w:ascii="Arial;sans-serif" w:hAnsi="Arial;sans-serif"/>
          <w:b w:val="false"/>
          <w:color w:val="000000"/>
          <w:sz w:val="20"/>
          <w:shd w:fill="FFFFFF" w:val="clear"/>
        </w:rPr>
        <w:t>freighter aircraft in its cargo fleet and five aircraft on lease to unaffiliated airlines.</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3</w:t>
                      </w:r>
                    </w:p>
                  </w:txbxContent>
                </v:textbox>
                <w10:wrap type="none"/>
              </v:rect>
            </w:pict>
          </mc:Fallback>
        </mc:AlternateContent>
      </w:r>
    </w:p>
    <w:p>
      <w:pPr>
        <w:pStyle w:val="TextBody"/>
        <w:bidi w:val="0"/>
        <w:spacing w:lineRule="auto" w:line="288" w:before="240" w:after="283"/>
        <w:jc w:val="left"/>
        <w:rPr>
          <w:rFonts w:ascii="Arial;sans-serif" w:hAnsi="Arial;sans-serif"/>
          <w:b/>
          <w:color w:val="0A0A0A"/>
          <w:sz w:val="20"/>
        </w:rPr>
      </w:pPr>
      <w:r>
        <w:rPr>
          <w:rFonts w:ascii="Arial;sans-serif" w:hAnsi="Arial;sans-serif"/>
          <w:b/>
          <w:color w:val="0A0A0A"/>
          <w:sz w:val="20"/>
        </w:rPr>
        <w:t>Guidance for Third Quarter 2025</w:t>
      </w:r>
    </w:p>
    <w:tbl>
      <w:tblPr>
        <w:tblW w:w="6179" w:type="dxa"/>
        <w:jc w:val="left"/>
        <w:tblInd w:w="0" w:type="dxa"/>
        <w:tblLayout w:type="fixed"/>
        <w:tblCellMar>
          <w:top w:w="28" w:type="dxa"/>
          <w:left w:w="28" w:type="dxa"/>
          <w:bottom w:w="28" w:type="dxa"/>
          <w:right w:w="28" w:type="dxa"/>
        </w:tblCellMar>
      </w:tblPr>
      <w:tblGrid>
        <w:gridCol w:w="1243"/>
        <w:gridCol w:w="1094"/>
        <w:gridCol w:w="1097"/>
        <w:gridCol w:w="409"/>
        <w:gridCol w:w="409"/>
        <w:gridCol w:w="412"/>
        <w:gridCol w:w="442"/>
        <w:gridCol w:w="442"/>
        <w:gridCol w:w="631"/>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A0A0A"/>
                <w:sz w:val="16"/>
              </w:rPr>
            </w:pPr>
            <w:r>
              <w:rPr>
                <w:rFonts w:ascii="Arial;sans-serif" w:hAnsi="Arial;sans-serif"/>
                <w:b/>
                <w:color w:val="0A0A0A"/>
                <w:sz w:val="16"/>
              </w:rPr>
              <w:t>Q3 2025</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A0A0A"/>
                <w:sz w:val="16"/>
              </w:rPr>
            </w:pPr>
            <w:r>
              <w:rPr>
                <w:rFonts w:ascii="Arial;sans-serif" w:hAnsi="Arial;sans-serif"/>
                <w:b/>
                <w:color w:val="0A0A0A"/>
                <w:sz w:val="16"/>
              </w:rPr>
              <w:t>H/(L) vs Q3 2024</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revenue - millions</w:t>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$250 to $260</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0 to 4%</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Economic fuel cost per gallon</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$2.61</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(3)%</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 margin - percentage</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3% to 6%</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(2.6)pp to 0.4pp</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Effective tax rate</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23%</w:t>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system block hours - thousands</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38 to 39</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5% to 8%</w:t>
            </w:r>
          </w:p>
        </w:tc>
      </w:tr>
    </w:tbl>
    <w:p>
      <w:pPr>
        <w:pStyle w:val="TextBody"/>
        <w:bidi w:val="0"/>
        <w:spacing w:before="240" w:after="283"/>
        <w:jc w:val="left"/>
        <w:rPr/>
      </w:pPr>
      <w:r>
        <w:rPr/>
      </w:r>
    </w:p>
    <w:p>
      <w:pPr>
        <w:pStyle w:val="TextBody"/>
        <w:bidi w:val="0"/>
        <w:spacing w:lineRule="auto" w:line="288" w:before="0" w:after="0"/>
        <w:jc w:val="left"/>
        <w:rPr>
          <w:rFonts w:ascii="Arial;sans-serif" w:hAnsi="Arial;sans-serif"/>
          <w:b/>
          <w:color w:val="0A0A0A"/>
          <w:sz w:val="20"/>
          <w:shd w:fill="FFFFFF" w:val="clear"/>
        </w:rPr>
      </w:pPr>
      <w:r>
        <w:rPr>
          <w:rFonts w:ascii="Arial;sans-serif" w:hAnsi="Arial;sans-serif"/>
          <w:b/>
          <w:color w:val="0A0A0A"/>
          <w:sz w:val="20"/>
          <w:shd w:fill="FFFFFF" w:val="clear"/>
        </w:rPr>
        <w:t>Conference Call &amp; Webcast Details</w:t>
      </w:r>
    </w:p>
    <w:p>
      <w:pPr>
        <w:pStyle w:val="TextBody"/>
        <w:bidi w:val="0"/>
        <w:spacing w:lineRule="auto" w:line="288" w:before="240" w:after="283"/>
        <w:jc w:val="left"/>
        <w:rPr/>
      </w:pPr>
      <w:r>
        <w:rPr>
          <w:rFonts w:ascii="Arial;sans-serif" w:hAnsi="Arial;sans-serif"/>
          <w:b w:val="false"/>
          <w:color w:val="0A0A0A"/>
          <w:sz w:val="20"/>
          <w:shd w:fill="FFFFFF" w:val="clear"/>
        </w:rPr>
        <w:t>Sun Country Airlines will host a conference call to discuss its second quarter 2025 results at 10:00 a.m. Eastern Time on Friday, August 1, 2025. A live broadcast of the conference call will be available via the investor relations section of Sun Country Airlines’ website at</w:t>
      </w:r>
      <w:r>
        <w:rPr>
          <w:color w:val="0A0A0A"/>
          <w:u w:val="single"/>
          <w:shd w:fill="FFFFFF" w:val="clear"/>
        </w:rPr>
        <w:t xml:space="preserve"> </w:t>
      </w:r>
      <w:r>
        <w:rPr>
          <w:rFonts w:ascii="Arial;sans-serif" w:hAnsi="Arial;sans-serif"/>
          <w:b w:val="false"/>
          <w:color w:val="026DCE"/>
          <w:sz w:val="20"/>
          <w:u w:val="single"/>
          <w:shd w:fill="FFFFFF" w:val="clear"/>
        </w:rPr>
        <w:t>https://ir.suncountry.com/news-events/events-and-presentations</w:t>
      </w:r>
      <w:r>
        <w:rPr>
          <w:rFonts w:ascii="Arial;sans-serif" w:hAnsi="Arial;sans-serif"/>
          <w:b w:val="false"/>
          <w:color w:val="0A0A0A"/>
          <w:sz w:val="20"/>
          <w:shd w:fill="FFFFFF" w:val="clear"/>
        </w:rPr>
        <w:t>.</w:t>
      </w:r>
      <w:r>
        <w:rPr>
          <w:color w:val="000000"/>
          <w:shd w:fill="FFFFFF" w:val="clear"/>
        </w:rPr>
        <w:t xml:space="preserve"> </w:t>
      </w:r>
      <w:r>
        <w:rPr>
          <w:rFonts w:ascii="Arial;sans-serif" w:hAnsi="Arial;sans-serif"/>
          <w:b w:val="false"/>
          <w:color w:val="000000"/>
          <w:sz w:val="20"/>
          <w:shd w:fill="FFFFFF" w:val="clear"/>
        </w:rPr>
        <w:t>The online replay will be available on the same website approximately one hour after the call.</w:t>
      </w:r>
    </w:p>
    <w:p>
      <w:pPr>
        <w:pStyle w:val="TextBody"/>
        <w:bidi w:val="0"/>
        <w:spacing w:lineRule="auto" w:line="288" w:before="240" w:after="160"/>
        <w:jc w:val="left"/>
        <w:rPr>
          <w:rFonts w:ascii="Arial;sans-serif" w:hAnsi="Arial;sans-serif"/>
          <w:b/>
          <w:color w:val="0A0A0A"/>
          <w:sz w:val="20"/>
          <w:shd w:fill="FFFFFF" w:val="clear"/>
        </w:rPr>
      </w:pPr>
      <w:r>
        <w:rPr>
          <w:rFonts w:ascii="Arial;sans-serif" w:hAnsi="Arial;sans-serif"/>
          <w:b/>
          <w:color w:val="0A0A0A"/>
          <w:sz w:val="20"/>
          <w:shd w:fill="FFFFFF" w:val="clear"/>
        </w:rPr>
        <w:t>About Sun Country Airlines</w:t>
      </w:r>
    </w:p>
    <w:p>
      <w:pPr>
        <w:pStyle w:val="TextBody"/>
        <w:bidi w:val="0"/>
        <w:spacing w:lineRule="auto" w:line="268" w:before="0" w:after="0"/>
        <w:jc w:val="left"/>
        <w:rPr/>
      </w:pPr>
      <w:r>
        <w:rPr>
          <w:rFonts w:ascii="Arial;sans-serif" w:hAnsi="Arial;sans-serif"/>
          <w:b w:val="false"/>
          <w:color w:val="000000"/>
          <w:sz w:val="20"/>
          <w:shd w:fill="FFFFFF" w:val="clear"/>
        </w:rPr>
        <w:t xml:space="preserve">Sun Country Airlines is a new breed of hybrid low-cost air carrier, whose mission is to connect guests to their favorite people and places, to create lifelong memories and transformative experiences. Sun Country dynamically </w:t>
      </w:r>
      <w:r>
        <w:rPr>
          <w:rFonts w:ascii="Arial;sans-serif" w:hAnsi="Arial;sans-serif"/>
          <w:b w:val="false"/>
          <w:color w:val="000000"/>
          <w:sz w:val="20"/>
        </w:rPr>
        <w:t>and synergistically</w:t>
      </w:r>
      <w:r>
        <w:rPr>
          <w:color w:val="000000"/>
          <w:shd w:fill="FFFFFF" w:val="clear"/>
        </w:rPr>
        <w:t xml:space="preserve"> </w:t>
      </w:r>
      <w:r>
        <w:rPr>
          <w:rFonts w:ascii="Arial;sans-serif" w:hAnsi="Arial;sans-serif"/>
          <w:b w:val="false"/>
          <w:color w:val="000000"/>
          <w:sz w:val="20"/>
          <w:shd w:fill="FFFFFF" w:val="clear"/>
        </w:rPr>
        <w:t xml:space="preserve">deploys shared resources for our passenger service (including scheduled service and charter) and cargo service segments. Based in Minnesota, we focus on serving leisure and visiting friends and relatives (“VFR”) passengers and charter customers and providing cargo service to Amazon, with flights throughout the United States and to destinations in Mexico, Central America, Canada, and the Caribbean. For photos, b-roll and additional company information, visit </w:t>
      </w:r>
      <w:r>
        <w:rPr>
          <w:rFonts w:ascii="Arial;sans-serif" w:hAnsi="Arial;sans-serif"/>
          <w:b w:val="false"/>
          <w:color w:val="026DCE"/>
          <w:sz w:val="20"/>
          <w:u w:val="single"/>
          <w:shd w:fill="FFFFFF" w:val="clear"/>
        </w:rPr>
        <w:t>https://www.stories.suncountry.com/multimedia</w:t>
      </w:r>
      <w:r>
        <w:rPr>
          <w:rFonts w:ascii="Arial;sans-serif" w:hAnsi="Arial;sans-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A0A0A"/>
          <w:sz w:val="20"/>
          <w:shd w:fill="FFFFFF" w:val="clear"/>
        </w:rPr>
      </w:pPr>
      <w:r>
        <w:rPr>
          <w:rFonts w:ascii="Arial;sans-serif" w:hAnsi="Arial;sans-serif"/>
          <w:b/>
          <w:color w:val="0A0A0A"/>
          <w:sz w:val="20"/>
          <w:shd w:fill="FFFFFF" w:val="clear"/>
        </w:rPr>
        <w:t>End Notes</w:t>
      </w:r>
    </w:p>
    <w:tbl>
      <w:tblPr>
        <w:tblW w:w="10205" w:type="dxa"/>
        <w:jc w:val="left"/>
        <w:tblInd w:w="0" w:type="dxa"/>
        <w:tblLayout w:type="fixed"/>
        <w:tblCellMar>
          <w:top w:w="28" w:type="dxa"/>
          <w:left w:w="28" w:type="dxa"/>
          <w:bottom w:w="28" w:type="dxa"/>
          <w:right w:w="28" w:type="dxa"/>
        </w:tblCellMar>
      </w:tblPr>
      <w:tblGrid>
        <w:gridCol w:w="128"/>
        <w:gridCol w:w="112"/>
        <w:gridCol w:w="112"/>
        <w:gridCol w:w="3427"/>
        <w:gridCol w:w="2659"/>
        <w:gridCol w:w="3767"/>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27"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1 -</w:t>
            </w:r>
          </w:p>
        </w:tc>
        <w:tc>
          <w:tcPr>
            <w:tcW w:w="98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Records begin in January 2017</w:t>
            </w:r>
          </w:p>
        </w:tc>
      </w:tr>
      <w:tr>
        <w:trPr/>
        <w:tc>
          <w:tcPr>
            <w:tcW w:w="35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2 -</w:t>
            </w:r>
          </w:p>
        </w:tc>
        <w:tc>
          <w:tcPr>
            <w:tcW w:w="98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A0A0A"/>
                <w:sz w:val="20"/>
                <w:shd w:fill="FFFFFF" w:val="clear"/>
              </w:rPr>
              <w:t>See additional details, including reconciliations to the most comparable GAAP measures, in the section titled “</w:t>
            </w:r>
            <w:r>
              <w:rPr>
                <w:rFonts w:ascii="Arial;sans-serif" w:hAnsi="Arial;sans-serif"/>
                <w:b w:val="false"/>
                <w:color w:val="000000"/>
                <w:sz w:val="20"/>
                <w:shd w:fill="FFFFFF" w:val="clear"/>
              </w:rPr>
              <w:t>Non-GAAP financial measures”</w:t>
            </w:r>
          </w:p>
        </w:tc>
      </w:tr>
      <w:tr>
        <w:trPr/>
        <w:tc>
          <w:tcPr>
            <w:tcW w:w="35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3 -</w:t>
            </w:r>
          </w:p>
        </w:tc>
        <w:tc>
          <w:tcPr>
            <w:tcW w:w="98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00000"/>
                <w:sz w:val="20"/>
              </w:rPr>
              <w:t>Scheduled Service TRASM includes Schedule Service revenue, Ancillary revenue, and ASM generating revenue classified within Other Revenue on the Condensed Consolidated Statement of Operations / Scheduled Service ASMs. Other Revenue includes rental revenue associated with certain assets that generate lease income of approximately $11.0 million and $9.9 million in the three months ended June 30, 2025</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 xml:space="preserve">2024 and $19.6 million and $19.1 million in the six months ended June 30, 2025 and 2024, respectively, which is not included. </w:t>
            </w:r>
          </w:p>
        </w:tc>
      </w:tr>
      <w:tr>
        <w:trPr/>
        <w:tc>
          <w:tcPr>
            <w:tcW w:w="35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4 -</w:t>
            </w:r>
          </w:p>
        </w:tc>
        <w:tc>
          <w:tcPr>
            <w:tcW w:w="9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Adjusted CASM is a non-GAAP measure derived from CASM by excluding fuel costs, non-cash management stock compensation expense, costs arising from its cargo operations, depreciation and amortization recognized on certain assets that generate lease income, certain commissions, and other costs of selling its vacations product from this measure. See table titled “Reconciliation of CASM to Adjusted CASM”</w:t>
            </w:r>
          </w:p>
        </w:tc>
      </w:tr>
      <w:tr>
        <w:trPr/>
        <w:tc>
          <w:tcPr>
            <w:tcW w:w="35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5 -</w:t>
            </w:r>
          </w:p>
        </w:tc>
        <w:tc>
          <w:tcPr>
            <w:tcW w:w="9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Total liquidity = cash and cash equivalents + available-for-sale securities + amount available under revolver</w:t>
            </w:r>
          </w:p>
        </w:tc>
      </w:tr>
      <w:tr>
        <w:trPr/>
        <w:tc>
          <w:tcPr>
            <w:tcW w:w="35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 xml:space="preserve">6 - </w:t>
            </w:r>
          </w:p>
        </w:tc>
        <w:tc>
          <w:tcPr>
            <w:tcW w:w="98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Net debt = current portion of long-term debt + long-term debt + finance lease obligations + operating lease obligations – cash and cash equivalents - available-for-sale securities</w:t>
            </w:r>
          </w:p>
        </w:tc>
      </w:tr>
    </w:tbl>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Contacts</w:t>
      </w:r>
    </w:p>
    <w:p>
      <w:pPr>
        <w:pStyle w:val="TextBody"/>
        <w:bidi w:val="0"/>
        <w:spacing w:lineRule="auto" w:line="288" w:before="0" w:after="0"/>
        <w:jc w:val="left"/>
        <w:rPr/>
      </w:pPr>
      <w:r>
        <w:rPr>
          <w:rFonts w:ascii="Arial;sans-serif" w:hAnsi="Arial;sans-serif"/>
          <w:b/>
          <w:color w:val="0A0A0A"/>
          <w:sz w:val="22"/>
          <w:shd w:fill="FFFFFF" w:val="clear"/>
        </w:rPr>
        <w:t>I</w:t>
      </w:r>
      <w:r>
        <w:rPr>
          <w:rFonts w:ascii="Arial;sans-serif" w:hAnsi="Arial;sans-serif"/>
          <w:b/>
          <w:color w:val="0A0A0A"/>
          <w:sz w:val="20"/>
          <w:shd w:fill="FFFFFF" w:val="clear"/>
        </w:rPr>
        <w:t>nvestor Relations</w:t>
      </w:r>
    </w:p>
    <w:p>
      <w:pPr>
        <w:pStyle w:val="TextBody"/>
        <w:bidi w:val="0"/>
        <w:spacing w:lineRule="auto" w:line="288" w:before="0" w:after="0"/>
        <w:jc w:val="left"/>
        <w:rPr>
          <w:rFonts w:ascii="Arial;sans-serif" w:hAnsi="Arial;sans-serif"/>
          <w:b w:val="false"/>
          <w:color w:val="0563C1"/>
          <w:sz w:val="20"/>
          <w:u w:val="single"/>
          <w:shd w:fill="FFFFFF" w:val="clear"/>
        </w:rPr>
      </w:pPr>
      <w:r>
        <w:rPr>
          <w:rFonts w:ascii="Arial;sans-serif" w:hAnsi="Arial;sans-serif"/>
          <w:b w:val="false"/>
          <w:color w:val="0563C1"/>
          <w:sz w:val="20"/>
          <w:u w:val="single"/>
          <w:shd w:fill="FFFFFF" w:val="clear"/>
        </w:rPr>
        <w:t>IR@suncountry.com</w:t>
      </w:r>
    </w:p>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Media</w:t>
      </w:r>
    </w:p>
    <w:p>
      <w:pPr>
        <w:pStyle w:val="TextBody"/>
        <w:bidi w:val="0"/>
        <w:spacing w:lineRule="auto" w:line="288" w:before="0" w:after="100"/>
        <w:jc w:val="left"/>
        <w:rPr>
          <w:rFonts w:ascii="Arial;sans-serif" w:hAnsi="Arial;sans-serif"/>
          <w:b w:val="false"/>
          <w:color w:val="0563C1"/>
          <w:sz w:val="20"/>
          <w:u w:val="single"/>
          <w:shd w:fill="FFFFFF" w:val="clear"/>
        </w:rPr>
      </w:pPr>
      <w:r>
        <w:rPr>
          <w:rFonts w:ascii="Arial;sans-serif" w:hAnsi="Arial;sans-serif"/>
          <w:b w:val="false"/>
          <w:color w:val="0563C1"/>
          <w:sz w:val="20"/>
          <w:u w:val="single"/>
          <w:shd w:fill="FFFFFF" w:val="clear"/>
        </w:rPr>
        <w:t>mediarelations@suncountry.com</w:t>
      </w:r>
    </w:p>
    <w:p>
      <w:pPr>
        <w:pStyle w:val="TextBody"/>
        <w:bidi w:val="0"/>
        <w:spacing w:before="24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4</w:t>
                      </w:r>
                    </w:p>
                  </w:txbxContent>
                </v:textbox>
                <w10:wrap type="none"/>
              </v:rect>
            </w:pict>
          </mc:Fallback>
        </mc:AlternateContent>
      </w:r>
    </w:p>
    <w:p>
      <w:pPr>
        <w:pStyle w:val="TextBody"/>
        <w:bidi w:val="0"/>
        <w:spacing w:lineRule="auto" w:line="288" w:before="0" w:after="0"/>
        <w:jc w:val="left"/>
        <w:rPr>
          <w:rFonts w:ascii="Arial;sans-serif" w:hAnsi="Arial;sans-serif"/>
          <w:b/>
          <w:color w:val="0A0A0A"/>
          <w:sz w:val="20"/>
          <w:shd w:fill="FFFFFF" w:val="clear"/>
        </w:rPr>
      </w:pPr>
      <w:r>
        <w:rPr>
          <w:rFonts w:ascii="Arial;sans-serif" w:hAnsi="Arial;sans-serif"/>
          <w:b/>
          <w:color w:val="0A0A0A"/>
          <w:sz w:val="20"/>
          <w:shd w:fill="FFFFFF" w:val="clear"/>
        </w:rPr>
        <w:t>Forward Looking Statements</w:t>
      </w:r>
    </w:p>
    <w:p>
      <w:pPr>
        <w:pStyle w:val="TextBody"/>
        <w:bidi w:val="0"/>
        <w:spacing w:lineRule="auto" w:line="288" w:before="240" w:after="283"/>
        <w:jc w:val="both"/>
        <w:rPr>
          <w:rFonts w:ascii="Arial;sans-serif" w:hAnsi="Arial;sans-serif"/>
          <w:b w:val="false"/>
          <w:color w:val="0A0A0A"/>
          <w:sz w:val="20"/>
          <w:shd w:fill="FFFFFF" w:val="clear"/>
        </w:rPr>
      </w:pPr>
      <w:r>
        <w:rPr>
          <w:rFonts w:ascii="Arial;sans-serif" w:hAnsi="Arial;sans-serif"/>
          <w:b w:val="false"/>
          <w:color w:val="0A0A0A"/>
          <w:sz w:val="20"/>
          <w:shd w:fill="FFFFFF" w:val="clear"/>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could relate to the following, among other items:</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our strategy, outlook and growth prospects;</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our operational and financial targets and dividend policy;</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 xml:space="preserve">general economic trends and trends in the industry and markets; </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 xml:space="preserve">potential repurchases of our common stock; and </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the competitive environment in which we operate.</w:t>
      </w:r>
    </w:p>
    <w:p>
      <w:pPr>
        <w:pStyle w:val="TextBody"/>
        <w:bidi w:val="0"/>
        <w:spacing w:lineRule="auto" w:line="288" w:before="240" w:after="283"/>
        <w:jc w:val="both"/>
        <w:rPr>
          <w:rFonts w:ascii="Arial;sans-serif" w:hAnsi="Arial;sans-serif"/>
          <w:b w:val="false"/>
          <w:color w:val="0A0A0A"/>
          <w:sz w:val="20"/>
          <w:shd w:fill="FFFFFF" w:val="clear"/>
        </w:rPr>
      </w:pPr>
      <w:r>
        <w:rPr>
          <w:rFonts w:ascii="Arial;sans-serif" w:hAnsi="Arial;sans-serif"/>
          <w:b w:val="false"/>
          <w:color w:val="0A0A0A"/>
          <w:sz w:val="20"/>
          <w:shd w:fill="FFFFFF" w:val="clear"/>
        </w:rPr>
        <w:t xml:space="preserve">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lineRule="auto" w:line="288" w:before="240" w:after="283"/>
        <w:jc w:val="both"/>
        <w:rPr>
          <w:rFonts w:ascii="Arial;sans-serif" w:hAnsi="Arial;sans-serif"/>
          <w:b w:val="false"/>
          <w:color w:val="0A0A0A"/>
          <w:sz w:val="20"/>
          <w:shd w:fill="FFFFFF" w:val="clear"/>
        </w:rPr>
      </w:pPr>
      <w:r>
        <w:rPr>
          <w:rFonts w:ascii="Arial;sans-serif" w:hAnsi="Arial;sans-serif"/>
          <w:b w:val="false"/>
          <w:color w:val="0A0A0A"/>
          <w:sz w:val="20"/>
          <w:shd w:fill="FFFFFF" w:val="clear"/>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pStyle w:val="TextBody"/>
        <w:bidi w:val="0"/>
        <w:spacing w:lineRule="auto" w:line="288" w:before="240" w:after="100"/>
        <w:jc w:val="both"/>
        <w:rPr>
          <w:rFonts w:ascii="Arial;sans-serif" w:hAnsi="Arial;sans-serif"/>
          <w:b/>
          <w:color w:val="0A0A0A"/>
          <w:sz w:val="20"/>
          <w:shd w:fill="FFFFFF" w:val="clear"/>
        </w:rPr>
      </w:pPr>
      <w:r>
        <w:rPr>
          <w:rFonts w:ascii="Arial;sans-serif" w:hAnsi="Arial;sans-serif"/>
          <w:b/>
          <w:color w:val="0A0A0A"/>
          <w:sz w:val="20"/>
          <w:shd w:fill="FFFFFF" w:val="clear"/>
        </w:rPr>
        <w:t>Non-GAAP Financial Measures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5</w:t>
                      </w:r>
                    </w:p>
                  </w:txbxContent>
                </v:textbox>
                <w10:wrap type="none"/>
              </v:rect>
            </w:pict>
          </mc:Fallback>
        </mc:AlternateContent>
      </w:r>
    </w:p>
    <w:tbl>
      <w:tblPr>
        <w:tblW w:w="6075" w:type="dxa"/>
        <w:jc w:val="left"/>
        <w:tblInd w:w="0" w:type="dxa"/>
        <w:tblLayout w:type="fixed"/>
        <w:tblCellMar>
          <w:top w:w="28" w:type="dxa"/>
          <w:left w:w="28" w:type="dxa"/>
          <w:bottom w:w="28" w:type="dxa"/>
          <w:right w:w="28" w:type="dxa"/>
        </w:tblCellMar>
      </w:tblPr>
      <w:tblGrid>
        <w:gridCol w:w="1946"/>
        <w:gridCol w:w="1708"/>
        <w:gridCol w:w="2421"/>
      </w:tblGrid>
      <w:tr>
        <w:trPr/>
        <w:tc>
          <w:tcPr>
            <w:tcW w:w="19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CONDENSED CONSOLIDATED STATEMENTS OF OPERATIONS</w:t>
              <w:br/>
              <w:t xml:space="preserve">(Dollars in thousands, except per share amounts) </w:t>
            </w:r>
          </w:p>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 xml:space="preserve">(Unaudited- amounts may not recalculate due to rounding) </w:t>
            </w:r>
          </w:p>
        </w:tc>
      </w:tr>
    </w:tbl>
    <w:tbl>
      <w:tblPr>
        <w:tblW w:w="7393" w:type="dxa"/>
        <w:jc w:val="left"/>
        <w:tblInd w:w="0" w:type="dxa"/>
        <w:tblLayout w:type="fixed"/>
        <w:tblCellMar>
          <w:top w:w="28" w:type="dxa"/>
          <w:left w:w="28" w:type="dxa"/>
          <w:bottom w:w="28" w:type="dxa"/>
          <w:right w:w="28" w:type="dxa"/>
        </w:tblCellMar>
      </w:tblPr>
      <w:tblGrid>
        <w:gridCol w:w="1168"/>
        <w:gridCol w:w="1027"/>
        <w:gridCol w:w="1029"/>
        <w:gridCol w:w="246"/>
        <w:gridCol w:w="880"/>
        <w:gridCol w:w="109"/>
        <w:gridCol w:w="109"/>
        <w:gridCol w:w="109"/>
        <w:gridCol w:w="109"/>
        <w:gridCol w:w="246"/>
        <w:gridCol w:w="880"/>
        <w:gridCol w:w="109"/>
        <w:gridCol w:w="109"/>
        <w:gridCol w:w="109"/>
        <w:gridCol w:w="109"/>
        <w:gridCol w:w="323"/>
        <w:gridCol w:w="323"/>
        <w:gridCol w:w="399"/>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Operating Revenues:</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Scheduled Service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88,078 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Charter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Ancillary</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77,308 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(6.5)</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Passenger</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216,395 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(0.8)</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Cargo</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25,447 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36.8 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254,381 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3.6 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Operating Expenses:</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Aircraft Fuel</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(18.7)</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Salaries, Wages, and Benefits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Maintenance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Sales and Marketing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Depreciation and Amortization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5.7</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Ground Handling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Landing Fees and Airport Rent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A0A0A"/>
                <w:sz w:val="20"/>
              </w:rPr>
              <w:t>Special Items, net</w:t>
            </w:r>
            <w:r>
              <w:rPr>
                <w:color w:val="0A0A0A"/>
              </w:rPr>
              <w:t xml:space="preserve"> </w:t>
            </w:r>
            <w:r>
              <w:rPr>
                <w:rFonts w:ascii="Arial;sans-serif" w:hAnsi="Arial;sans-serif"/>
                <w:b w:val="false"/>
                <w:color w:val="0A0A0A"/>
                <w:sz w:val="13"/>
              </w:rPr>
              <w:t>(1)</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A0A0A"/>
              </w:rPr>
            </w:pPr>
            <w:r>
              <w:rPr>
                <w:color w:val="0A0A0A"/>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Operating,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26,016 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Expenses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242,016 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2.2 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31.5 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Non-operating Income (Expense):</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Income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Expense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Non-operating Expense, net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(9,281)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 xml:space="preserve">Income Tax Expense </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 xml:space="preserve">Net Income per share to common stockholders: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Shares used for computation:</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53,222,461 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52,689,408 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54,777,448 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54,792,848 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A0A0A"/>
          <w:sz w:val="16"/>
        </w:rPr>
      </w:pPr>
      <w:r>
        <w:rPr>
          <w:rFonts w:ascii="Arial;sans-serif" w:hAnsi="Arial;sans-serif"/>
          <w:b w:val="false"/>
          <w:color w:val="0A0A0A"/>
          <w:sz w:val="16"/>
        </w:rPr>
        <w:t>NM - not meaningful</w:t>
      </w:r>
    </w:p>
    <w:p>
      <w:pPr>
        <w:pStyle w:val="TextBody"/>
        <w:bidi w:val="0"/>
        <w:spacing w:lineRule="auto" w:line="288" w:before="0" w:after="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 xml:space="preserve">1 – In March 2025, the Company's flight attendants, represented by the International Brotherhood of Teamsters, ratified a new five-year collective bargaining agreement. Upon ratification of the new agreement, eligible flights attendants became entitled to a one-time ratification bonus. Eligibility requirements stipulate that flight attendants must be on the seniority list as of the ratification date, have completed probation, and hold an active status in order to receive the bonus payment. Ratification bonuses were paid to all eligible flight attendants during the six months ended June 30, 2025, per the collective bargaining agreement. Certain portions of the ratification bonus are paid in future periods as flight attendants on the seniority list as of the ratification date complete their probationary period or change their status from inactive to active. The ratification bonus and payroll related tax expense were included within Special Items, net.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6</w:t>
                      </w:r>
                    </w:p>
                  </w:txbxContent>
                </v:textbox>
                <w10:wrap type="none"/>
              </v:rect>
            </w:pict>
          </mc:Fallback>
        </mc:AlternateContent>
      </w:r>
    </w:p>
    <w:tbl>
      <w:tblPr>
        <w:tblW w:w="7288" w:type="dxa"/>
        <w:jc w:val="left"/>
        <w:tblInd w:w="0" w:type="dxa"/>
        <w:tblLayout w:type="fixed"/>
        <w:tblCellMar>
          <w:top w:w="28" w:type="dxa"/>
          <w:left w:w="28" w:type="dxa"/>
          <w:bottom w:w="28" w:type="dxa"/>
          <w:right w:w="28" w:type="dxa"/>
        </w:tblCellMar>
      </w:tblPr>
      <w:tblGrid>
        <w:gridCol w:w="1168"/>
        <w:gridCol w:w="1027"/>
        <w:gridCol w:w="1029"/>
        <w:gridCol w:w="211"/>
        <w:gridCol w:w="856"/>
        <w:gridCol w:w="109"/>
        <w:gridCol w:w="109"/>
        <w:gridCol w:w="109"/>
        <w:gridCol w:w="109"/>
        <w:gridCol w:w="222"/>
        <w:gridCol w:w="904"/>
        <w:gridCol w:w="109"/>
        <w:gridCol w:w="109"/>
        <w:gridCol w:w="109"/>
        <w:gridCol w:w="109"/>
        <w:gridCol w:w="300"/>
        <w:gridCol w:w="300"/>
        <w:gridCol w:w="399"/>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Operating 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Scheduled 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Charter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10.8 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Ancillary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Passenger</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491,059 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1.9 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Cargo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27.5 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565,864 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4.3 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(13.1)</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Salaries, Wages, and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Maintenance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Sales and Marketing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4.9</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Ground Handling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Landing Fees and Airport 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A0A0A"/>
                <w:sz w:val="20"/>
              </w:rPr>
              <w:t>Special Items, net</w:t>
            </w:r>
            <w:r>
              <w:rPr>
                <w:color w:val="0A0A0A"/>
              </w:rPr>
              <w:t xml:space="preserve"> </w:t>
            </w:r>
            <w:r>
              <w:rPr>
                <w:rFonts w:ascii="Arial;sans-serif" w:hAnsi="Arial;sans-serif"/>
                <w:b w:val="false"/>
                <w:color w:val="0A0A0A"/>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Operating,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3.9 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67,541 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7.4 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Non-operating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Non-operating Expense,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(17,899)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 xml:space="preserve">Income Tax Expense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 xml:space="preserve">Net Income per share to common stockholders: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Shares used for computation: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52,861,973 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55,142,573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55,095,265 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A0A0A"/>
          <w:sz w:val="16"/>
        </w:rPr>
      </w:pPr>
      <w:r>
        <w:rPr>
          <w:rFonts w:ascii="Arial;sans-serif" w:hAnsi="Arial;sans-serif"/>
          <w:b w:val="false"/>
          <w:color w:val="0A0A0A"/>
          <w:sz w:val="16"/>
        </w:rPr>
        <w:t>NM - not meaningful</w:t>
      </w:r>
    </w:p>
    <w:p>
      <w:pPr>
        <w:pStyle w:val="TextBody"/>
        <w:bidi w:val="0"/>
        <w:spacing w:lineRule="auto" w:line="288" w:before="60" w:after="283"/>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1 –See Note 1 on page 6 of this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7</w:t>
                      </w:r>
                    </w:p>
                  </w:txbxContent>
                </v:textbox>
                <w10:wrap type="none"/>
              </v:rect>
            </w:pict>
          </mc:Fallback>
        </mc:AlternateContent>
      </w:r>
    </w:p>
    <w:tbl>
      <w:tblPr>
        <w:tblW w:w="7424" w:type="dxa"/>
        <w:jc w:val="left"/>
        <w:tblInd w:w="0" w:type="dxa"/>
        <w:tblLayout w:type="fixed"/>
        <w:tblCellMar>
          <w:top w:w="28" w:type="dxa"/>
          <w:left w:w="28" w:type="dxa"/>
          <w:bottom w:w="28" w:type="dxa"/>
          <w:right w:w="28" w:type="dxa"/>
        </w:tblCellMar>
      </w:tblPr>
      <w:tblGrid>
        <w:gridCol w:w="2377"/>
        <w:gridCol w:w="2091"/>
        <w:gridCol w:w="2956"/>
      </w:tblGrid>
      <w:tr>
        <w:trPr/>
        <w:tc>
          <w:tcPr>
            <w:tcW w:w="2377"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7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OPERATING STATISTICS - amounts may not recalculate due to rounding</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tables presents key operating statistics and metrics for the three and six months ended June 30, 2025 and 2024.</w:t>
      </w:r>
    </w:p>
    <w:tbl>
      <w:tblPr>
        <w:tblW w:w="8911" w:type="dxa"/>
        <w:jc w:val="left"/>
        <w:tblInd w:w="0" w:type="dxa"/>
        <w:tblLayout w:type="fixed"/>
        <w:tblCellMar>
          <w:top w:w="28" w:type="dxa"/>
          <w:left w:w="28" w:type="dxa"/>
          <w:bottom w:w="28" w:type="dxa"/>
          <w:right w:w="28" w:type="dxa"/>
        </w:tblCellMar>
      </w:tblPr>
      <w:tblGrid>
        <w:gridCol w:w="1525"/>
        <w:gridCol w:w="1342"/>
        <w:gridCol w:w="1347"/>
        <w:gridCol w:w="511"/>
        <w:gridCol w:w="343"/>
        <w:gridCol w:w="348"/>
        <w:gridCol w:w="226"/>
        <w:gridCol w:w="226"/>
        <w:gridCol w:w="226"/>
        <w:gridCol w:w="511"/>
        <w:gridCol w:w="343"/>
        <w:gridCol w:w="348"/>
        <w:gridCol w:w="109"/>
        <w:gridCol w:w="109"/>
        <w:gridCol w:w="109"/>
        <w:gridCol w:w="305"/>
        <w:gridCol w:w="305"/>
        <w:gridCol w:w="306"/>
        <w:gridCol w:w="109"/>
        <w:gridCol w:w="109"/>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Scheduled Service Statistics:</w:t>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 miles (RPMs) – thousands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1,285,926</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1,571,210</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Load factor</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passengers carried</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1,062,295</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6,979</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21,887</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Scheduled service TRASM</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cents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82.97</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 per passenger</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68.02</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fare per passenger</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150.99</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16,835</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Charter Statistics: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2,670</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5,489</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seats miles (ASMs) - thousands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335,137</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3,853</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Cargo Statistics: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3,645</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9,157</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System Statistics: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passenger aircraft</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aircraft – end of period</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aircraft – end of period</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Leased aircraft – end of period</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1,933,871</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2,011,921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13,444</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37,086</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Daily utilization – hours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stage length – miles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revenue per ASM (TRASM) - cents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per ASM (CASM) - cents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CASM</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cents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20,949</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Employees at end of period</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3,293</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1 – See note 3 in end notes</w:t>
      </w:r>
    </w:p>
    <w:p>
      <w:pPr>
        <w:pStyle w:val="TextBody"/>
        <w:bidi w:val="0"/>
        <w:spacing w:lineRule="auto" w:line="288" w:before="60" w:after="283"/>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2 – See note 4 in end notes</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3- Percentage point difference</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8</w:t>
                      </w:r>
                    </w:p>
                  </w:txbxContent>
                </v:textbox>
                <w10:wrap type="none"/>
              </v:rect>
            </w:pict>
          </mc:Fallback>
        </mc:AlternateContent>
      </w:r>
    </w:p>
    <w:tbl>
      <w:tblPr>
        <w:tblW w:w="8854" w:type="dxa"/>
        <w:jc w:val="left"/>
        <w:tblInd w:w="0" w:type="dxa"/>
        <w:tblLayout w:type="fixed"/>
        <w:tblCellMar>
          <w:top w:w="28" w:type="dxa"/>
          <w:left w:w="28" w:type="dxa"/>
          <w:bottom w:w="28" w:type="dxa"/>
          <w:right w:w="28" w:type="dxa"/>
        </w:tblCellMar>
      </w:tblPr>
      <w:tblGrid>
        <w:gridCol w:w="1525"/>
        <w:gridCol w:w="1342"/>
        <w:gridCol w:w="1347"/>
        <w:gridCol w:w="511"/>
        <w:gridCol w:w="343"/>
        <w:gridCol w:w="348"/>
        <w:gridCol w:w="207"/>
        <w:gridCol w:w="207"/>
        <w:gridCol w:w="207"/>
        <w:gridCol w:w="511"/>
        <w:gridCol w:w="343"/>
        <w:gridCol w:w="348"/>
        <w:gridCol w:w="109"/>
        <w:gridCol w:w="109"/>
        <w:gridCol w:w="109"/>
        <w:gridCol w:w="305"/>
        <w:gridCol w:w="305"/>
        <w:gridCol w:w="306"/>
        <w:gridCol w:w="109"/>
        <w:gridCol w:w="109"/>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Scheduled Service Statistics:</w:t>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 miles (RPMs) – thousands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2,972,410</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3,047,163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3,591,755</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3,568,818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Load factor</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passengers carried</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2,227,368</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14,445</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49,129</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Scheduled service TRASM</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cents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104.01</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 per passenger</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71.80</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fare per passenger</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175.81</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38,124</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Charter Statistics: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5,138</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10,913</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seats miles (ASMs) - thousands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666,648</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7,553</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Cargo Statistics: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6,571</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16,763</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System Statistics: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passenger aircraft</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aircraft – end of period</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aircraft – end of period</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Leased aircraft – end of period</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4,304,626</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4,223,807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26,408</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77,767</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Daily utilization – hours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stage length – miles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revenue per ASM (TRASM) - cents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per ASM (CASM) - cents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CASM</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cents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46,120</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Employees at end of period</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3,293</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1 – See note 3 in end notes</w:t>
      </w:r>
    </w:p>
    <w:p>
      <w:pPr>
        <w:pStyle w:val="TextBody"/>
        <w:bidi w:val="0"/>
        <w:spacing w:lineRule="auto" w:line="288" w:before="60" w:after="283"/>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2 – See note 4 in end notes</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3- Percentage point difference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9</w:t>
                      </w:r>
                    </w:p>
                  </w:txbxContent>
                </v:textbox>
                <w10:wrap type="none"/>
              </v:rect>
            </w:pict>
          </mc:Fallback>
        </mc:AlternateContent>
      </w:r>
    </w:p>
    <w:tbl>
      <w:tblPr>
        <w:tblW w:w="4589" w:type="dxa"/>
        <w:jc w:val="left"/>
        <w:tblInd w:w="0" w:type="dxa"/>
        <w:tblLayout w:type="fixed"/>
        <w:tblCellMar>
          <w:top w:w="28" w:type="dxa"/>
          <w:left w:w="28" w:type="dxa"/>
          <w:bottom w:w="28" w:type="dxa"/>
          <w:right w:w="28" w:type="dxa"/>
        </w:tblCellMar>
      </w:tblPr>
      <w:tblGrid>
        <w:gridCol w:w="1470"/>
        <w:gridCol w:w="1289"/>
        <w:gridCol w:w="1830"/>
      </w:tblGrid>
      <w:tr>
        <w:trPr/>
        <w:tc>
          <w:tcPr>
            <w:tcW w:w="147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SUMMARY BALANCE SHEET</w:t>
              <w:br/>
              <w:t xml:space="preserve">(Dollars in millions) </w:t>
            </w:r>
          </w:p>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 xml:space="preserve">(amounts may not recalculate due to rounding) </w:t>
            </w:r>
          </w:p>
        </w:tc>
      </w:tr>
    </w:tbl>
    <w:tbl>
      <w:tblPr>
        <w:tblW w:w="8383" w:type="dxa"/>
        <w:jc w:val="left"/>
        <w:tblInd w:w="0" w:type="dxa"/>
        <w:tblLayout w:type="fixed"/>
        <w:tblCellMar>
          <w:top w:w="28" w:type="dxa"/>
          <w:left w:w="28" w:type="dxa"/>
          <w:bottom w:w="28" w:type="dxa"/>
          <w:right w:w="28" w:type="dxa"/>
        </w:tblCellMar>
      </w:tblPr>
      <w:tblGrid>
        <w:gridCol w:w="1412"/>
        <w:gridCol w:w="1242"/>
        <w:gridCol w:w="1246"/>
        <w:gridCol w:w="255"/>
        <w:gridCol w:w="783"/>
        <w:gridCol w:w="132"/>
        <w:gridCol w:w="109"/>
        <w:gridCol w:w="109"/>
        <w:gridCol w:w="109"/>
        <w:gridCol w:w="344"/>
        <w:gridCol w:w="1053"/>
        <w:gridCol w:w="177"/>
        <w:gridCol w:w="109"/>
        <w:gridCol w:w="109"/>
        <w:gridCol w:w="109"/>
        <w:gridCol w:w="299"/>
        <w:gridCol w:w="301"/>
        <w:gridCol w:w="485"/>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9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Cash &amp; Cash Equivalents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Current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Current Assets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Property &amp; Equipment,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8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Total Assets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 Traffic Liabilities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Current Finance Lease Obligations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Current Operating Lease Obligations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Current Maturities of Long-Term Debt,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Tax Receivable Agreement Liability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Current Liabilities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48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Current Liabilities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Finance Lease Obligations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Lease Obligations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Long-Term Debt,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Tax Receivable Agreement Liability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48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Total Liabilities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Total Stockholders’ Equity</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10</w:t>
                      </w:r>
                    </w:p>
                  </w:txbxContent>
                </v:textbox>
                <w10:wrap type="none"/>
              </v:rect>
            </w:pict>
          </mc:Fallback>
        </mc:AlternateContent>
      </w:r>
    </w:p>
    <w:tbl>
      <w:tblPr>
        <w:tblW w:w="5714" w:type="dxa"/>
        <w:jc w:val="left"/>
        <w:tblInd w:w="0" w:type="dxa"/>
        <w:tblLayout w:type="fixed"/>
        <w:tblCellMar>
          <w:top w:w="28" w:type="dxa"/>
          <w:left w:w="28" w:type="dxa"/>
          <w:bottom w:w="28" w:type="dxa"/>
          <w:right w:w="28" w:type="dxa"/>
        </w:tblCellMar>
      </w:tblPr>
      <w:tblGrid>
        <w:gridCol w:w="1830"/>
        <w:gridCol w:w="1605"/>
        <w:gridCol w:w="2279"/>
      </w:tblGrid>
      <w:tr>
        <w:trPr/>
        <w:tc>
          <w:tcPr>
            <w:tcW w:w="183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SUMMARY CASH FLOW</w:t>
              <w:br/>
              <w:t xml:space="preserve">(Dollars in millions) </w:t>
            </w:r>
          </w:p>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 xml:space="preserve">(Unaudited - amounts may not recalculate due to rounding) </w:t>
            </w:r>
          </w:p>
        </w:tc>
      </w:tr>
    </w:tbl>
    <w:tbl>
      <w:tblPr>
        <w:tblW w:w="9971" w:type="dxa"/>
        <w:jc w:val="left"/>
        <w:tblInd w:w="0" w:type="dxa"/>
        <w:tblLayout w:type="fixed"/>
        <w:tblCellMar>
          <w:top w:w="28" w:type="dxa"/>
          <w:left w:w="28" w:type="dxa"/>
          <w:bottom w:w="28" w:type="dxa"/>
          <w:right w:w="28" w:type="dxa"/>
        </w:tblCellMar>
      </w:tblPr>
      <w:tblGrid>
        <w:gridCol w:w="2281"/>
        <w:gridCol w:w="2006"/>
        <w:gridCol w:w="2013"/>
        <w:gridCol w:w="400"/>
        <w:gridCol w:w="240"/>
        <w:gridCol w:w="241"/>
        <w:gridCol w:w="207"/>
        <w:gridCol w:w="207"/>
        <w:gridCol w:w="207"/>
        <w:gridCol w:w="400"/>
        <w:gridCol w:w="240"/>
        <w:gridCol w:w="241"/>
        <w:gridCol w:w="109"/>
        <w:gridCol w:w="109"/>
        <w:gridCol w:w="109"/>
        <w:gridCol w:w="281"/>
        <w:gridCol w:w="281"/>
        <w:gridCol w:w="399"/>
      </w:tblGrid>
      <w:tr>
        <w:trPr/>
        <w:tc>
          <w:tcPr>
            <w:tcW w:w="228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6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Net Cash Provided by Operating Activities</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w:t>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Purchases of Property &amp; Equipment</w:t>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w:t>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(68.4)</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Net Cash (Used in) Provided by Investing Activities</w:t>
            </w:r>
          </w:p>
        </w:tc>
        <w:tc>
          <w:tcPr>
            <w:tcW w:w="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(327.5)</w:t>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Common Stock Repurchases</w:t>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Proceeds from Borrowing</w:t>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Repayment of Finance Lease Obligations</w:t>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w:t>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Repayment of Borrowings</w:t>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237.9</w:t>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Net Cash Used in Financing Activities</w:t>
            </w:r>
          </w:p>
        </w:tc>
        <w:tc>
          <w:tcPr>
            <w:tcW w:w="8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Decrease in Cash, Cash Equivalents and Restricted Cash</w:t>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59.5</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Cash, Cash Equivalents and Restricted Cash – Beginning of the Period</w:t>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w:t>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A0A0A"/>
                <w:sz w:val="20"/>
              </w:rPr>
            </w:pPr>
            <w:r>
              <w:rPr>
                <w:rFonts w:ascii="Arial;sans-serif" w:hAnsi="Arial;sans-serif"/>
                <w:b w:val="false"/>
                <w:color w:val="0A0A0A"/>
                <w:sz w:val="20"/>
              </w:rPr>
              <w:t xml:space="preserve">Cash, Cash Equivalents and Restricted Cash – </w:t>
            </w:r>
          </w:p>
          <w:p>
            <w:pPr>
              <w:pStyle w:val="TableContents"/>
              <w:bidi w:val="0"/>
              <w:spacing w:lineRule="auto" w:line="240" w:before="0" w:after="0"/>
              <w:ind w:left="0" w:right="0" w:hanging="90"/>
              <w:jc w:val="left"/>
              <w:rPr>
                <w:rFonts w:ascii="Arial;sans-serif" w:hAnsi="Arial;sans-serif"/>
                <w:b w:val="false"/>
                <w:color w:val="0A0A0A"/>
                <w:sz w:val="20"/>
              </w:rPr>
            </w:pPr>
            <w:r>
              <w:rPr>
                <w:rFonts w:ascii="Arial;sans-serif" w:hAnsi="Arial;sans-serif"/>
                <w:b w:val="false"/>
                <w:color w:val="0A0A0A"/>
                <w:sz w:val="20"/>
              </w:rPr>
              <w:t>End of the Period</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w:t>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11</w:t>
                      </w:r>
                    </w:p>
                  </w:txbxContent>
                </v:textbox>
                <w10:wrap type="none"/>
              </v:rect>
            </w:pict>
          </mc:Fallback>
        </mc:AlternateConten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Adjusted Operating Income, Adjusted Operating Income Margin, Adjusted Income Before Income Tax, Adjusted Pre-tax Margin, Adjusted Net Income, Adjusted Net Income per Share, Adjusted EBITDA and Adjusted EBITDA Margin</w:t>
      </w:r>
    </w:p>
    <w:p>
      <w:pPr>
        <w:pStyle w:val="TextBody"/>
        <w:bidi w:val="0"/>
        <w:spacing w:lineRule="auto" w:line="288" w:before="240" w:after="283"/>
        <w:jc w:val="both"/>
        <w:rPr/>
      </w:pPr>
      <w:r>
        <w:rPr>
          <w:rFonts w:ascii="Arial;sans-serif" w:hAnsi="Arial;sans-serif"/>
          <w:b w:val="false"/>
          <w:color w:val="000000"/>
          <w:sz w:val="20"/>
          <w:shd w:fill="FFFFFF" w:val="clear"/>
        </w:rPr>
        <w:t xml:space="preserve">Adjusted Operating Income, Adjusted Operating Income Margin, Adjusted Income Before Income Tax, Adjusted Pre-tax Margin, Adjusted Net Income, Adjusted Net Income per share, Adjusted EBITDA and Adjusted EBITDA Margin are non-GAAP measures included as supplemental disclosure because we believe they are useful indicators of our operating performance. </w:t>
      </w:r>
      <w:r>
        <w:rPr>
          <w:rFonts w:ascii="Arial;sans-serif" w:hAnsi="Arial;sans-serif"/>
          <w:b w:val="false"/>
          <w:color w:val="000000"/>
          <w:sz w:val="20"/>
        </w:rPr>
        <w:t>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pStyle w:val="TextBody"/>
        <w:bidi w:val="0"/>
        <w:spacing w:lineRule="auto" w:line="288" w:before="240" w:after="283"/>
        <w:jc w:val="both"/>
        <w:rPr/>
      </w:pPr>
      <w:r>
        <w:rPr>
          <w:rFonts w:ascii="Arial;sans-serif" w:hAnsi="Arial;sans-serif"/>
          <w:b w:val="false"/>
          <w:color w:val="000000"/>
          <w:sz w:val="20"/>
        </w:rPr>
        <w:t>For the aforementioned reasons, Adjusted Operating Income, Adjusted Operating Income Margin, Adjusted Income Before Income Tax, Adjusted Pre-tax Margin, Adjusted Net Income, Adjusted Net Income per Share, Adjusted EBITDA and Adjusted EBITDA Margin have significant limitations which affect their use as indicators of our profitability. Accordingly, readers are cautioned not to place undue reliance on this information</w:t>
      </w:r>
      <w:r>
        <w:rPr>
          <w:rFonts w:ascii="Arial;sans-serif" w:hAnsi="Arial;sans-serif"/>
          <w:b w:val="false"/>
          <w:color w:val="000000"/>
          <w:sz w:val="24"/>
        </w:rPr>
        <w:t>.</w:t>
      </w:r>
    </w:p>
    <w:p>
      <w:pPr>
        <w:pStyle w:val="TextBody"/>
        <w:bidi w:val="0"/>
        <w:spacing w:before="0" w:after="0"/>
        <w:jc w:val="left"/>
        <w:rPr/>
      </w:pPr>
      <w:r>
        <w:rPr/>
      </w:r>
    </w:p>
    <w:tbl>
      <w:tblPr>
        <w:tblW w:w="9135" w:type="dxa"/>
        <w:jc w:val="left"/>
        <w:tblInd w:w="0" w:type="dxa"/>
        <w:tblLayout w:type="fixed"/>
        <w:tblCellMar>
          <w:top w:w="28" w:type="dxa"/>
          <w:left w:w="28" w:type="dxa"/>
          <w:bottom w:w="28" w:type="dxa"/>
          <w:right w:w="28" w:type="dxa"/>
        </w:tblCellMar>
      </w:tblPr>
      <w:tblGrid>
        <w:gridCol w:w="2921"/>
        <w:gridCol w:w="2568"/>
        <w:gridCol w:w="3646"/>
      </w:tblGrid>
      <w:tr>
        <w:trPr/>
        <w:tc>
          <w:tcPr>
            <w:tcW w:w="2921"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9135"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Arial;sans-serif" w:hAnsi="Arial;sans-serif"/>
                <w:b/>
                <w:color w:val="000000"/>
                <w:sz w:val="20"/>
              </w:rPr>
            </w:pPr>
            <w:r>
              <w:rPr>
                <w:rFonts w:ascii="Arial;sans-serif" w:hAnsi="Arial;sans-serif"/>
                <w:b/>
                <w:color w:val="000000"/>
                <w:sz w:val="20"/>
              </w:rPr>
              <w:t xml:space="preserve">Reconciliation of GAAP Operating Income to Adjusted Operating Income </w:t>
            </w:r>
          </w:p>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Dollars in millions – Unaudited - amounts may not recalculate due to rounding</w:t>
            </w:r>
          </w:p>
        </w:tc>
      </w:tr>
      <w:tr>
        <w:trPr/>
        <w:tc>
          <w:tcPr>
            <w:tcW w:w="9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GAAP operating income to adjusted operating income.</w:t>
            </w:r>
          </w:p>
        </w:tc>
      </w:tr>
    </w:tbl>
    <w:tbl>
      <w:tblPr>
        <w:tblW w:w="8871" w:type="dxa"/>
        <w:jc w:val="left"/>
        <w:tblInd w:w="0" w:type="dxa"/>
        <w:tblLayout w:type="fixed"/>
        <w:tblCellMar>
          <w:top w:w="28" w:type="dxa"/>
          <w:left w:w="28" w:type="dxa"/>
          <w:bottom w:w="28" w:type="dxa"/>
          <w:right w:w="28" w:type="dxa"/>
        </w:tblCellMar>
      </w:tblPr>
      <w:tblGrid>
        <w:gridCol w:w="1136"/>
        <w:gridCol w:w="997"/>
        <w:gridCol w:w="1001"/>
        <w:gridCol w:w="250"/>
        <w:gridCol w:w="765"/>
        <w:gridCol w:w="339"/>
        <w:gridCol w:w="129"/>
        <w:gridCol w:w="129"/>
        <w:gridCol w:w="129"/>
        <w:gridCol w:w="250"/>
        <w:gridCol w:w="189"/>
        <w:gridCol w:w="425"/>
        <w:gridCol w:w="109"/>
        <w:gridCol w:w="109"/>
        <w:gridCol w:w="109"/>
        <w:gridCol w:w="228"/>
        <w:gridCol w:w="699"/>
        <w:gridCol w:w="309"/>
        <w:gridCol w:w="218"/>
        <w:gridCol w:w="218"/>
        <w:gridCol w:w="117"/>
        <w:gridCol w:w="311"/>
        <w:gridCol w:w="230"/>
        <w:gridCol w:w="475"/>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Operating Revenue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590.3 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565.9</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Operating Income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Stock Compensation Expense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Operating Income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Operating Income Margin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Operating Income Margin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3131" w:type="dxa"/>
        <w:jc w:val="left"/>
        <w:tblInd w:w="0" w:type="dxa"/>
        <w:tblLayout w:type="fixed"/>
        <w:tblCellMar>
          <w:top w:w="28" w:type="dxa"/>
          <w:left w:w="28" w:type="dxa"/>
          <w:bottom w:w="28" w:type="dxa"/>
          <w:right w:w="28" w:type="dxa"/>
        </w:tblCellMar>
      </w:tblPr>
      <w:tblGrid>
        <w:gridCol w:w="124"/>
        <w:gridCol w:w="109"/>
        <w:gridCol w:w="109"/>
        <w:gridCol w:w="815"/>
        <w:gridCol w:w="815"/>
        <w:gridCol w:w="1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2789"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See Note 1 on page 6 of this release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3"/>
        <w:gridCol w:w="2868"/>
        <w:gridCol w:w="4074"/>
      </w:tblGrid>
      <w:tr>
        <w:trPr/>
        <w:tc>
          <w:tcPr>
            <w:tcW w:w="3263"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Arial;sans-serif" w:hAnsi="Arial;sans-serif"/>
                <w:b/>
                <w:color w:val="000000"/>
                <w:sz w:val="20"/>
              </w:rPr>
            </w:pPr>
            <w:r>
              <w:rPr>
                <w:rFonts w:ascii="Arial;sans-serif" w:hAnsi="Arial;sans-serif"/>
                <w:b/>
                <w:color w:val="000000"/>
                <w:sz w:val="20"/>
              </w:rPr>
              <w:t xml:space="preserve">Reconciliation of GAAP Income Before Income Tax to Adjusted Income Before Income Tax </w:t>
            </w:r>
          </w:p>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Dollars in millions – Unaudited - amounts may not recalculate due to rounding</w:t>
            </w:r>
          </w:p>
        </w:tc>
      </w:tr>
      <w:tr>
        <w:trPr/>
        <w:tc>
          <w:tcPr>
            <w:tcW w:w="10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GAAP income before income tax to adjusted income before income tax.</w:t>
            </w:r>
          </w:p>
        </w:tc>
      </w:tr>
    </w:tbl>
    <w:tbl>
      <w:tblPr>
        <w:tblW w:w="9317" w:type="dxa"/>
        <w:jc w:val="left"/>
        <w:tblInd w:w="0" w:type="dxa"/>
        <w:tblLayout w:type="fixed"/>
        <w:tblCellMar>
          <w:top w:w="28" w:type="dxa"/>
          <w:left w:w="28" w:type="dxa"/>
          <w:bottom w:w="28" w:type="dxa"/>
          <w:right w:w="28" w:type="dxa"/>
        </w:tblCellMar>
      </w:tblPr>
      <w:tblGrid>
        <w:gridCol w:w="1323"/>
        <w:gridCol w:w="1165"/>
        <w:gridCol w:w="1171"/>
        <w:gridCol w:w="225"/>
        <w:gridCol w:w="579"/>
        <w:gridCol w:w="306"/>
        <w:gridCol w:w="116"/>
        <w:gridCol w:w="116"/>
        <w:gridCol w:w="116"/>
        <w:gridCol w:w="225"/>
        <w:gridCol w:w="466"/>
        <w:gridCol w:w="306"/>
        <w:gridCol w:w="109"/>
        <w:gridCol w:w="109"/>
        <w:gridCol w:w="109"/>
        <w:gridCol w:w="211"/>
        <w:gridCol w:w="541"/>
        <w:gridCol w:w="286"/>
        <w:gridCol w:w="323"/>
        <w:gridCol w:w="323"/>
        <w:gridCol w:w="109"/>
        <w:gridCol w:w="211"/>
        <w:gridCol w:w="541"/>
        <w:gridCol w:w="331"/>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Net Income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Add: Provision for Income Tax Expense </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as reported</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Pre-tax margin</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Credit Facility</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Income Before Income Tax</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Pre-tax margin</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3131" w:type="dxa"/>
        <w:jc w:val="left"/>
        <w:tblInd w:w="0" w:type="dxa"/>
        <w:tblLayout w:type="fixed"/>
        <w:tblCellMar>
          <w:top w:w="28" w:type="dxa"/>
          <w:left w:w="28" w:type="dxa"/>
          <w:bottom w:w="28" w:type="dxa"/>
          <w:right w:w="28" w:type="dxa"/>
        </w:tblCellMar>
      </w:tblPr>
      <w:tblGrid>
        <w:gridCol w:w="124"/>
        <w:gridCol w:w="109"/>
        <w:gridCol w:w="109"/>
        <w:gridCol w:w="815"/>
        <w:gridCol w:w="815"/>
        <w:gridCol w:w="1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2789"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See Note 1 on page 6 of this release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Arial;sans-serif" w:hAnsi="Arial;sans-serif"/>
                <w:b/>
                <w:color w:val="000000"/>
                <w:sz w:val="20"/>
              </w:rPr>
            </w:pPr>
            <w:r>
              <w:rPr>
                <w:rFonts w:ascii="Arial;sans-serif" w:hAnsi="Arial;sans-serif"/>
                <w:b/>
                <w:color w:val="000000"/>
                <w:sz w:val="20"/>
              </w:rPr>
              <w:t>Reconciliation of GAAP Net Income and Earnings per Share to Adjusted Net Income and Adjusted Earnings per Share</w:t>
            </w:r>
          </w:p>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Dollars and shares in millions, except for per share – Unaudited - amounts may not recalculate due to rounding</w:t>
            </w:r>
          </w:p>
        </w:tc>
      </w:tr>
      <w:tr>
        <w:trPr/>
        <w:tc>
          <w:tcPr>
            <w:tcW w:w="10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GAAP net income and earnings per share to adjusted net income and adjusted earnings per share.</w:t>
            </w:r>
          </w:p>
        </w:tc>
      </w:tr>
    </w:tbl>
    <w:tbl>
      <w:tblPr>
        <w:tblW w:w="9661" w:type="dxa"/>
        <w:jc w:val="left"/>
        <w:tblInd w:w="0" w:type="dxa"/>
        <w:tblLayout w:type="fixed"/>
        <w:tblCellMar>
          <w:top w:w="28" w:type="dxa"/>
          <w:left w:w="28" w:type="dxa"/>
          <w:bottom w:w="28" w:type="dxa"/>
          <w:right w:w="28" w:type="dxa"/>
        </w:tblCellMar>
      </w:tblPr>
      <w:tblGrid>
        <w:gridCol w:w="1449"/>
        <w:gridCol w:w="1274"/>
        <w:gridCol w:w="1282"/>
        <w:gridCol w:w="211"/>
        <w:gridCol w:w="436"/>
        <w:gridCol w:w="109"/>
        <w:gridCol w:w="109"/>
        <w:gridCol w:w="109"/>
        <w:gridCol w:w="109"/>
        <w:gridCol w:w="382"/>
        <w:gridCol w:w="980"/>
        <w:gridCol w:w="197"/>
        <w:gridCol w:w="109"/>
        <w:gridCol w:w="109"/>
        <w:gridCol w:w="109"/>
        <w:gridCol w:w="211"/>
        <w:gridCol w:w="436"/>
        <w:gridCol w:w="109"/>
        <w:gridCol w:w="109"/>
        <w:gridCol w:w="109"/>
        <w:gridCol w:w="109"/>
        <w:gridCol w:w="374"/>
        <w:gridCol w:w="958"/>
        <w:gridCol w:w="272"/>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Stock Compensation Expense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Credit Facility</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Income Tax Effect of Adjusting Items, net </w:t>
            </w:r>
            <w:r>
              <w:rPr>
                <w:rFonts w:ascii="Arial;sans-serif" w:hAnsi="Arial;sans-serif"/>
                <w:b w:val="false"/>
                <w:color w:val="000000"/>
                <w:sz w:val="13"/>
              </w:rPr>
              <w:t>(2)</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Diluted share count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13</w:t>
                      </w:r>
                    </w:p>
                  </w:txbxContent>
                </v:textbox>
                <w10:wrap type="none"/>
              </v:rect>
            </w:pict>
          </mc:Fallback>
        </mc:AlternateContent>
      </w:r>
    </w:p>
    <w:tbl>
      <w:tblPr>
        <w:tblW w:w="9871" w:type="dxa"/>
        <w:jc w:val="left"/>
        <w:tblInd w:w="0" w:type="dxa"/>
        <w:tblLayout w:type="fixed"/>
        <w:tblCellMar>
          <w:top w:w="28" w:type="dxa"/>
          <w:left w:w="28" w:type="dxa"/>
          <w:bottom w:w="28" w:type="dxa"/>
          <w:right w:w="28" w:type="dxa"/>
        </w:tblCellMar>
      </w:tblPr>
      <w:tblGrid>
        <w:gridCol w:w="1449"/>
        <w:gridCol w:w="1274"/>
        <w:gridCol w:w="1282"/>
        <w:gridCol w:w="211"/>
        <w:gridCol w:w="541"/>
        <w:gridCol w:w="109"/>
        <w:gridCol w:w="109"/>
        <w:gridCol w:w="109"/>
        <w:gridCol w:w="109"/>
        <w:gridCol w:w="382"/>
        <w:gridCol w:w="980"/>
        <w:gridCol w:w="197"/>
        <w:gridCol w:w="109"/>
        <w:gridCol w:w="109"/>
        <w:gridCol w:w="109"/>
        <w:gridCol w:w="211"/>
        <w:gridCol w:w="541"/>
        <w:gridCol w:w="109"/>
        <w:gridCol w:w="109"/>
        <w:gridCol w:w="109"/>
        <w:gridCol w:w="109"/>
        <w:gridCol w:w="374"/>
        <w:gridCol w:w="958"/>
        <w:gridCol w:w="272"/>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Stock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Credit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Income Tax Effect of Adjusting Items, net </w:t>
            </w:r>
            <w:r>
              <w:rPr>
                <w:rFonts w:ascii="Arial;sans-serif" w:hAnsi="Arial;sans-serif"/>
                <w:b w:val="false"/>
                <w:color w:val="000000"/>
                <w:sz w:val="13"/>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Diluted share count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16" w:type="dxa"/>
        <w:jc w:val="left"/>
        <w:tblInd w:w="0" w:type="dxa"/>
        <w:tblLayout w:type="fixed"/>
        <w:tblCellMar>
          <w:top w:w="28" w:type="dxa"/>
          <w:left w:w="28" w:type="dxa"/>
          <w:bottom w:w="28" w:type="dxa"/>
          <w:right w:w="28" w:type="dxa"/>
        </w:tblCellMar>
      </w:tblPr>
      <w:tblGrid>
        <w:gridCol w:w="124"/>
        <w:gridCol w:w="109"/>
        <w:gridCol w:w="109"/>
        <w:gridCol w:w="2301"/>
        <w:gridCol w:w="2301"/>
        <w:gridCol w:w="32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32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7874"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See Note 1 on page 6 of this release</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(2)</w:t>
            </w:r>
          </w:p>
        </w:tc>
        <w:tc>
          <w:tcPr>
            <w:tcW w:w="78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The tax effect of adjusting items, net is calculated at the Company’s statutory rate for the application period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064" w:type="dxa"/>
        <w:jc w:val="left"/>
        <w:tblInd w:w="0" w:type="dxa"/>
        <w:tblLayout w:type="fixed"/>
        <w:tblCellMar>
          <w:top w:w="28" w:type="dxa"/>
          <w:left w:w="28" w:type="dxa"/>
          <w:bottom w:w="28" w:type="dxa"/>
          <w:right w:w="28" w:type="dxa"/>
        </w:tblCellMar>
      </w:tblPr>
      <w:tblGrid>
        <w:gridCol w:w="3218"/>
        <w:gridCol w:w="2829"/>
        <w:gridCol w:w="4017"/>
      </w:tblGrid>
      <w:tr>
        <w:trPr/>
        <w:tc>
          <w:tcPr>
            <w:tcW w:w="3218"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4017" w:type="dxa"/>
            <w:tcBorders/>
            <w:vAlign w:val="center"/>
          </w:tcPr>
          <w:p>
            <w:pPr>
              <w:pStyle w:val="TableContents"/>
              <w:bidi w:val="0"/>
              <w:spacing w:before="0" w:after="283"/>
              <w:jc w:val="left"/>
              <w:rPr>
                <w:sz w:val="4"/>
                <w:szCs w:val="4"/>
              </w:rPr>
            </w:pPr>
            <w:r>
              <w:rPr>
                <w:sz w:val="4"/>
                <w:szCs w:val="4"/>
              </w:rPr>
            </w:r>
          </w:p>
        </w:tc>
      </w:tr>
      <w:tr>
        <w:trPr/>
        <w:tc>
          <w:tcPr>
            <w:tcW w:w="1006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color w:val="000000"/>
                <w:sz w:val="20"/>
              </w:rPr>
            </w:pPr>
            <w:r>
              <w:rPr>
                <w:rFonts w:ascii="Arial;sans-serif" w:hAnsi="Arial;sans-serif"/>
                <w:b/>
                <w:color w:val="000000"/>
                <w:sz w:val="20"/>
              </w:rPr>
              <w:t>Reconciliation of GAAP Net Income to Adjusted EBITDA</w:t>
            </w:r>
          </w:p>
          <w:p>
            <w:pPr>
              <w:pStyle w:val="TableContents"/>
              <w:bidi w:val="0"/>
              <w:spacing w:lineRule="auto" w:line="288" w:before="60" w:after="283"/>
              <w:jc w:val="left"/>
              <w:rPr>
                <w:rFonts w:ascii="Arial;sans-serif" w:hAnsi="Arial;sans-serif"/>
                <w:b/>
                <w:color w:val="000000"/>
                <w:sz w:val="20"/>
              </w:rPr>
            </w:pPr>
            <w:r>
              <w:rPr>
                <w:rFonts w:ascii="Arial;sans-serif" w:hAnsi="Arial;sans-serif"/>
                <w:b/>
                <w:color w:val="000000"/>
                <w:sz w:val="20"/>
              </w:rPr>
              <w:t>Dollars in millions – Unaudited - amounts may not recalculate due to rounding</w:t>
            </w:r>
          </w:p>
        </w:tc>
      </w:tr>
      <w:tr>
        <w:trPr/>
        <w:tc>
          <w:tcPr>
            <w:tcW w:w="10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following tables present the reconciliation of net income to adjusted EBITDA for the periods presented below. </w:t>
            </w:r>
          </w:p>
        </w:tc>
      </w:tr>
    </w:tbl>
    <w:tbl>
      <w:tblPr>
        <w:tblW w:w="8201" w:type="dxa"/>
        <w:jc w:val="left"/>
        <w:tblInd w:w="0" w:type="dxa"/>
        <w:tblLayout w:type="fixed"/>
        <w:tblCellMar>
          <w:top w:w="28" w:type="dxa"/>
          <w:left w:w="28" w:type="dxa"/>
          <w:bottom w:w="28" w:type="dxa"/>
          <w:right w:w="28" w:type="dxa"/>
        </w:tblCellMar>
      </w:tblPr>
      <w:tblGrid>
        <w:gridCol w:w="998"/>
        <w:gridCol w:w="877"/>
        <w:gridCol w:w="884"/>
        <w:gridCol w:w="216"/>
        <w:gridCol w:w="554"/>
        <w:gridCol w:w="292"/>
        <w:gridCol w:w="111"/>
        <w:gridCol w:w="111"/>
        <w:gridCol w:w="111"/>
        <w:gridCol w:w="216"/>
        <w:gridCol w:w="554"/>
        <w:gridCol w:w="292"/>
        <w:gridCol w:w="109"/>
        <w:gridCol w:w="109"/>
        <w:gridCol w:w="109"/>
        <w:gridCol w:w="211"/>
        <w:gridCol w:w="646"/>
        <w:gridCol w:w="286"/>
        <w:gridCol w:w="109"/>
        <w:gridCol w:w="109"/>
        <w:gridCol w:w="109"/>
        <w:gridCol w:w="211"/>
        <w:gridCol w:w="646"/>
        <w:gridCol w:w="331"/>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3131" w:type="dxa"/>
        <w:jc w:val="left"/>
        <w:tblInd w:w="0" w:type="dxa"/>
        <w:tblLayout w:type="fixed"/>
        <w:tblCellMar>
          <w:top w:w="28" w:type="dxa"/>
          <w:left w:w="28" w:type="dxa"/>
          <w:bottom w:w="28" w:type="dxa"/>
          <w:right w:w="28" w:type="dxa"/>
        </w:tblCellMar>
      </w:tblPr>
      <w:tblGrid>
        <w:gridCol w:w="124"/>
        <w:gridCol w:w="109"/>
        <w:gridCol w:w="109"/>
        <w:gridCol w:w="815"/>
        <w:gridCol w:w="815"/>
        <w:gridCol w:w="1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2789"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See Note 1 on page 6 of this release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Adjusted CASM</w:t>
      </w:r>
    </w:p>
    <w:p>
      <w:pPr>
        <w:pStyle w:val="TextBody"/>
        <w:bidi w:val="0"/>
        <w:spacing w:lineRule="auto" w:line="288" w:before="240" w:after="283"/>
        <w:jc w:val="both"/>
        <w:rPr/>
      </w:pPr>
      <w:r>
        <w:rPr>
          <w:rFonts w:ascii="Arial;sans-serif" w:hAnsi="Arial;sans-serif"/>
          <w:b w:val="false"/>
          <w:color w:val="000000"/>
          <w:sz w:val="20"/>
          <w:shd w:fill="FFFFFF" w:val="clear"/>
        </w:rPr>
        <w:t xml:space="preserve">Adjusted CASM is a non-GAAP measure derived from CASM by excluding fuel costs, costs related to our cargo operations, stock based compensation, </w:t>
      </w:r>
      <w:r>
        <w:rPr>
          <w:rFonts w:ascii="Arial;sans-serif" w:hAnsi="Arial;sans-serif"/>
          <w:b w:val="false"/>
          <w:color w:val="000000"/>
          <w:sz w:val="20"/>
        </w:rPr>
        <w:t>depreciation and amortization recognized on certain assets that generate lease income,</w:t>
      </w:r>
      <w:r>
        <w:rPr>
          <w:color w:val="000000"/>
          <w:shd w:fill="FFFFFF" w:val="clear"/>
        </w:rPr>
        <w:t xml:space="preserve"> </w:t>
      </w:r>
      <w:r>
        <w:rPr>
          <w:rFonts w:ascii="Arial;sans-serif" w:hAnsi="Arial;sans-serif"/>
          <w:b w:val="false"/>
          <w:color w:val="000000"/>
          <w:sz w:val="20"/>
          <w:shd w:fill="FFFFFF" w:val="clear"/>
        </w:rPr>
        <w:t xml:space="preserve">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Adjusted CASM excludes fuel costs. By excluding volatile fuel costs that are outside of our control from our unit metrics, we believe that we have better visibility into the results of operations and our non-fuel cost initiatives. Our industry is highly competitive and is characterized by high fixed costs, so even a small reduction in non-</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14</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and maintenance costs, and productivity, which are more controllable by management.</w:t>
      </w:r>
    </w:p>
    <w:p>
      <w:pPr>
        <w:pStyle w:val="TextBody"/>
        <w:bidi w:val="0"/>
        <w:spacing w:lineRule="auto" w:line="288" w:before="240" w:after="283"/>
        <w:jc w:val="both"/>
        <w:rPr/>
      </w:pPr>
      <w:r>
        <w:rPr>
          <w:rFonts w:ascii="Arial;sans-serif" w:hAnsi="Arial;sans-serif"/>
          <w:b w:val="false"/>
          <w:color w:val="000000"/>
          <w:sz w:val="20"/>
        </w:rPr>
        <w:t xml:space="preserve">We have excluded costs related to the cargo operations and depreciation recognized on certain assets that generate lease income as these operations do not create ASMs. We have entered into a series of transactions where we serve as a lessor. As of June 30, 2025, we leased or subleased five aircraft. </w:t>
      </w:r>
      <w:r>
        <w:rPr>
          <w:rFonts w:ascii="Arial;sans-serif" w:hAnsi="Arial;sans-serif"/>
          <w:b w:val="false"/>
          <w:color w:val="000000"/>
          <w:sz w:val="20"/>
          <w:shd w:fill="FFFFFF" w:val="clear"/>
        </w:rPr>
        <w:t>Adjusted CASM further excludes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period.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15</w:t>
                      </w:r>
                    </w:p>
                  </w:txbxContent>
                </v:textbox>
                <w10:wrap type="none"/>
              </v:rect>
            </w:pict>
          </mc:Fallback>
        </mc:AlternateContent>
      </w:r>
    </w:p>
    <w:tbl>
      <w:tblPr>
        <w:tblW w:w="7035" w:type="dxa"/>
        <w:jc w:val="left"/>
        <w:tblInd w:w="0" w:type="dxa"/>
        <w:tblLayout w:type="fixed"/>
        <w:tblCellMar>
          <w:top w:w="28" w:type="dxa"/>
          <w:left w:w="28" w:type="dxa"/>
          <w:bottom w:w="28" w:type="dxa"/>
          <w:right w:w="28" w:type="dxa"/>
        </w:tblCellMar>
      </w:tblPr>
      <w:tblGrid>
        <w:gridCol w:w="2250"/>
        <w:gridCol w:w="1978"/>
        <w:gridCol w:w="2807"/>
      </w:tblGrid>
      <w:tr>
        <w:trPr/>
        <w:tc>
          <w:tcPr>
            <w:tcW w:w="2250"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color w:val="000000"/>
                <w:sz w:val="20"/>
              </w:rPr>
            </w:pPr>
            <w:r>
              <w:rPr>
                <w:rFonts w:ascii="Arial;sans-serif" w:hAnsi="Arial;sans-serif"/>
                <w:b/>
                <w:color w:val="000000"/>
                <w:sz w:val="20"/>
              </w:rPr>
              <w:t>Reconciliation of CASM to Adjusted CASM</w:t>
            </w:r>
          </w:p>
          <w:p>
            <w:pPr>
              <w:pStyle w:val="TableContents"/>
              <w:bidi w:val="0"/>
              <w:spacing w:lineRule="auto" w:line="288" w:before="60" w:after="283"/>
              <w:jc w:val="left"/>
              <w:rPr>
                <w:rFonts w:ascii="Arial;sans-serif" w:hAnsi="Arial;sans-serif"/>
                <w:b/>
                <w:color w:val="000000"/>
                <w:sz w:val="20"/>
              </w:rPr>
            </w:pPr>
            <w:r>
              <w:rPr>
                <w:rFonts w:ascii="Arial;sans-serif" w:hAnsi="Arial;sans-serif"/>
                <w:b/>
                <w:color w:val="000000"/>
                <w:sz w:val="20"/>
              </w:rPr>
              <w:t>Amounts may not recalculate due to rounding, dollar amounts in millions</w:t>
            </w:r>
          </w:p>
          <w:p>
            <w:pPr>
              <w:pStyle w:val="TableContents"/>
              <w:bidi w:val="0"/>
              <w:spacing w:before="60" w:after="283"/>
              <w:jc w:val="left"/>
              <w:rPr/>
            </w:pPr>
            <w:r>
              <w:rPr/>
            </w:r>
          </w:p>
        </w:tc>
      </w:tr>
      <w:tr>
        <w:trPr/>
        <w:tc>
          <w:tcPr>
            <w:tcW w:w="7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The following table presents the reconciliation of CASM to Adjusted CASM.</w:t>
            </w:r>
          </w:p>
        </w:tc>
      </w:tr>
    </w:tbl>
    <w:tbl>
      <w:tblPr>
        <w:tblW w:w="10205" w:type="dxa"/>
        <w:jc w:val="left"/>
        <w:tblInd w:w="0" w:type="dxa"/>
        <w:tblLayout w:type="fixed"/>
        <w:tblCellMar>
          <w:top w:w="28" w:type="dxa"/>
          <w:left w:w="28" w:type="dxa"/>
          <w:bottom w:w="28" w:type="dxa"/>
          <w:right w:w="28" w:type="dxa"/>
        </w:tblCellMar>
      </w:tblPr>
      <w:tblGrid>
        <w:gridCol w:w="1469"/>
        <w:gridCol w:w="1228"/>
        <w:gridCol w:w="1185"/>
        <w:gridCol w:w="714"/>
        <w:gridCol w:w="407"/>
        <w:gridCol w:w="370"/>
        <w:gridCol w:w="109"/>
        <w:gridCol w:w="109"/>
        <w:gridCol w:w="109"/>
        <w:gridCol w:w="373"/>
        <w:gridCol w:w="373"/>
        <w:gridCol w:w="375"/>
        <w:gridCol w:w="109"/>
        <w:gridCol w:w="109"/>
        <w:gridCol w:w="109"/>
        <w:gridCol w:w="321"/>
        <w:gridCol w:w="985"/>
        <w:gridCol w:w="166"/>
        <w:gridCol w:w="109"/>
        <w:gridCol w:w="109"/>
        <w:gridCol w:w="109"/>
        <w:gridCol w:w="412"/>
        <w:gridCol w:w="355"/>
        <w:gridCol w:w="491"/>
      </w:tblGrid>
      <w:tr>
        <w:trPr/>
        <w:tc>
          <w:tcPr>
            <w:tcW w:w="146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3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r>
      <w:tr>
        <w:trPr/>
        <w:tc>
          <w:tcPr>
            <w:tcW w:w="3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Leased Aircraft, Depreciation and Amortization Expense </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mm</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69"/>
        <w:gridCol w:w="1228"/>
        <w:gridCol w:w="1185"/>
        <w:gridCol w:w="714"/>
        <w:gridCol w:w="407"/>
        <w:gridCol w:w="370"/>
        <w:gridCol w:w="109"/>
        <w:gridCol w:w="109"/>
        <w:gridCol w:w="109"/>
        <w:gridCol w:w="373"/>
        <w:gridCol w:w="373"/>
        <w:gridCol w:w="375"/>
        <w:gridCol w:w="109"/>
        <w:gridCol w:w="109"/>
        <w:gridCol w:w="109"/>
        <w:gridCol w:w="321"/>
        <w:gridCol w:w="985"/>
        <w:gridCol w:w="166"/>
        <w:gridCol w:w="109"/>
        <w:gridCol w:w="109"/>
        <w:gridCol w:w="109"/>
        <w:gridCol w:w="412"/>
        <w:gridCol w:w="355"/>
        <w:gridCol w:w="491"/>
      </w:tblGrid>
      <w:tr>
        <w:trPr/>
        <w:tc>
          <w:tcPr>
            <w:tcW w:w="146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r>
      <w:tr>
        <w:trPr/>
        <w:tc>
          <w:tcPr>
            <w:tcW w:w="3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Leased Aircraft, Depreciation and Amortization Expense </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mm</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131" w:type="dxa"/>
        <w:jc w:val="left"/>
        <w:tblInd w:w="0" w:type="dxa"/>
        <w:tblLayout w:type="fixed"/>
        <w:tblCellMar>
          <w:top w:w="28" w:type="dxa"/>
          <w:left w:w="28" w:type="dxa"/>
          <w:bottom w:w="28" w:type="dxa"/>
          <w:right w:w="28" w:type="dxa"/>
        </w:tblCellMar>
      </w:tblPr>
      <w:tblGrid>
        <w:gridCol w:w="124"/>
        <w:gridCol w:w="109"/>
        <w:gridCol w:w="109"/>
        <w:gridCol w:w="815"/>
        <w:gridCol w:w="815"/>
        <w:gridCol w:w="1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2789"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See Note 1 on page 6 of this release</w:t>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6021</Words>
  <Characters>32353</Characters>
  <CharactersWithSpaces>37417</CharactersWithSpaces>
  <Paragraphs>1502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