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3,070,467.00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3,070,467.00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3,070,467.00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52,308,918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(according to the issuer's prospectus as filed with the Securities and Exchange Commission on February 11, 2025). Except as described in the preceding sentence, all Shares for the holdings of the reporting persons reported in this Schedule 13G are as of the opening of the market on February 19,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3,070,467.00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3,070,467.00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3,070,467.00</w:t>
      </w:r>
    </w:p>
    <w:p>
      <w:pPr>
        <w:sectPr>
          <w:pgSz w:w="11900" w:h="16838" w:orient="portrait"/>
          <w:cols w:equalWidth="0" w:num="1">
            <w:col w:w="11080"/>
          </w:cols>
          <w:pgMar w:left="320" w:top="111" w:right="499" w:bottom="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3,070,467.00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3,070,467.00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3,070,467.00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ectPr>
          <w:pgSz w:w="11900" w:h="16838"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126,447.00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126,447.00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126,447.00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right="7059" w:hanging="231"/>
        <w:spacing w:after="0" w:line="259" w:lineRule="auto"/>
        <w:tabs>
          <w:tab w:leader="none" w:pos="1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126,447.00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126,447.00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126,447.00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126,447.00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112" w:right="1440" w:bottom="451" w:gutter="0" w:footer="0" w:header="0"/>
          <w:type w:val="continuous"/>
        </w:sectPr>
      </w:pPr>
    </w:p>
    <w:bookmarkStart w:id="5" w:name="page6"/>
    <w:bookmarkEnd w:id="5"/>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6" w:orient="portrait"/>
          <w:cols w:equalWidth="0" w:num="1">
            <w:col w:w="10980"/>
          </w:cols>
          <w:pgMar w:left="360" w:top="110" w:right="5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3,196,914.00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3,196,914.00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3,196,914.00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6" w:orient="portrait"/>
          <w:cols w:equalWidth="0" w:num="2">
            <w:col w:w="1060" w:space="60"/>
            <w:col w:w="9860"/>
          </w:cols>
          <w:pgMar w:left="360" w:top="110"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 Citadel Advisors is the portfolio manager for CM. CAH is the sole member of Citadel Advisors. CGP is the general</w:t>
      </w:r>
    </w:p>
    <w:p>
      <w:pPr>
        <w:sectPr>
          <w:pgSz w:w="11900" w:h="16896" w:orient="portrait"/>
          <w:cols w:equalWidth="0" w:num="1">
            <w:col w:w="10980"/>
          </w:cols>
          <w:pgMar w:left="360" w:top="110" w:right="559" w:bottom="0" w:gutter="0" w:footer="0" w:header="0"/>
          <w:type w:val="continuous"/>
        </w:sectPr>
      </w:pPr>
    </w:p>
    <w:bookmarkStart w:id="6" w:name="page7"/>
    <w:bookmarkEnd w:id="6"/>
    <w:p>
      <w:pPr>
        <w:jc w:val="both"/>
        <w:ind w:left="920" w:right="120"/>
        <w:spacing w:after="0" w:line="255" w:lineRule="auto"/>
        <w:rPr>
          <w:sz w:val="20"/>
          <w:szCs w:val="20"/>
          <w:color w:val="auto"/>
        </w:rPr>
      </w:pPr>
      <w:r>
        <w:rPr>
          <w:rFonts w:ascii="Times New Roman" w:cs="Times New Roman" w:eastAsia="Times New Roman" w:hAnsi="Times New Roman"/>
          <w:sz w:val="21"/>
          <w:szCs w:val="21"/>
          <w:color w:val="auto"/>
        </w:rPr>
        <w:t>partner of CAH. CALC4 is the non-member manager of Citadel Securities.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5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each of the Reporting Persons is Southeast Financial Center, 200 S. Biscayne Blvd., Suite 3300, Miami, Florida 33131.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2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3,070,467 Shares. 2. Citadel Securities LLC may be deemed to beneficially own 126,447 Shares. 3. Each of Citadel Securities Group LP and Citadel Securities GP LLC may be deemed to beneficially own 126,447 Shares. 4. Mr. Griffin may be deemed to beneficially own 3,196,914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0" w:right="18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5.9% of the Shares outstanding. 2. The number of Shares that Citadel Securities LLC may be deemed to beneficially own constitutes 0.2% of the Shares outstanding. 3. The number of Shares that each of Citadel Securities Group LP and Citadel Securities GP LLC may be deemed to beneficially own constitutes 0.2% of the Shares outstanding. 4. The number of Shares that Mr. Griffin may be deemed to beneficially own constitutes 6.1%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firstLine="6"/>
        <w:spacing w:after="0" w:line="244" w:lineRule="auto"/>
        <w:tabs>
          <w:tab w:leader="none" w:pos="11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3,070,467 2. Citadel Securities LLC: 126,447 3. Each of Citadel Securities Group LP and Citadel Securities GP LLC: 126,447 4. Mr. Griffin: 3,196,914</w:t>
      </w:r>
    </w:p>
    <w:p>
      <w:pPr>
        <w:sectPr>
          <w:pgSz w:w="11900" w:h="16838" w:orient="portrait"/>
          <w:cols w:equalWidth="0" w:num="1">
            <w:col w:w="11120"/>
          </w:cols>
          <w:pgMar w:left="360" w:top="111" w:right="41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ind w:left="220" w:hanging="214"/>
        <w:spacing w:after="0"/>
        <w:tabs>
          <w:tab w:leader="none" w:pos="2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0" w:firstLine="6"/>
        <w:spacing w:after="0" w:line="244" w:lineRule="auto"/>
        <w:tabs>
          <w:tab w:leader="none" w:pos="2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3,070,467 2. Citadel Securities LLC: 126,447 3. Each of Citadel Securities Group LP and Citadel Securities GP LLC: 126,447 4. Mr. Griffin: 3,196,914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Miller</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Guy Miller, Authorized Signatory</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Miller</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Guy Miller, Authorized Signatory</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ectPr>
          <w:pgSz w:w="11900" w:h="16838" w:orient="portrait"/>
          <w:cols w:equalWidth="0" w:num="1">
            <w:col w:w="11140"/>
          </w:cols>
          <w:pgMar w:left="360" w:top="111" w:right="399" w:bottom="0" w:gutter="0" w:footer="0" w:header="0"/>
          <w:type w:val="continuous"/>
        </w:sectPr>
      </w:pPr>
    </w:p>
    <w:bookmarkStart w:id="8" w:name="page9"/>
    <w:bookmarkEnd w:id="8"/>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Miller</w:t>
      </w:r>
    </w:p>
    <w:p>
      <w:pPr>
        <w:spacing w:after="0" w:line="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Guy Miller, Authorized Signatory</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02/19/2025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020"/>
          </w:cols>
          <w:pgMar w:left="320" w:top="111"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19, 2025.</w:t>
            </w: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0" w:type="dxa"/>
            <w:vAlign w:val="bottom"/>
          </w:tcPr>
          <w:p>
            <w:pPr>
              <w:spacing w:after="0"/>
              <w:rPr>
                <w:sz w:val="1"/>
                <w:szCs w:val="1"/>
                <w:color w:val="auto"/>
              </w:rPr>
            </w:pPr>
          </w:p>
        </w:tc>
      </w:tr>
      <w:tr>
        <w:trPr>
          <w:trHeight w:val="45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Guy Miller</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600" w:type="dxa"/>
            <w:vAlign w:val="bottom"/>
          </w:tcPr>
          <w:p>
            <w:pPr>
              <w:spacing w:after="0"/>
              <w:rPr>
                <w:sz w:val="19"/>
                <w:szCs w:val="19"/>
                <w:color w:val="auto"/>
              </w:rPr>
            </w:pPr>
          </w:p>
        </w:tc>
        <w:tc>
          <w:tcPr>
            <w:tcW w:w="5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45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0" w:type="dxa"/>
            <w:vAlign w:val="bottom"/>
          </w:tcPr>
          <w:p>
            <w:pPr>
              <w:spacing w:after="0"/>
              <w:rPr>
                <w:sz w:val="1"/>
                <w:szCs w:val="1"/>
                <w:color w:val="auto"/>
              </w:rPr>
            </w:pPr>
          </w:p>
        </w:tc>
      </w:tr>
      <w:tr>
        <w:trPr>
          <w:trHeight w:val="45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Guy Miller</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600" w:type="dxa"/>
            <w:vAlign w:val="bottom"/>
          </w:tcPr>
          <w:p>
            <w:pPr>
              <w:spacing w:after="0"/>
              <w:rPr>
                <w:sz w:val="19"/>
                <w:szCs w:val="19"/>
                <w:color w:val="auto"/>
              </w:rPr>
            </w:pPr>
          </w:p>
        </w:tc>
        <w:tc>
          <w:tcPr>
            <w:tcW w:w="5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45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0" w:type="dxa"/>
            <w:vAlign w:val="bottom"/>
          </w:tcPr>
          <w:p>
            <w:pPr>
              <w:spacing w:after="0"/>
              <w:rPr>
                <w:sz w:val="1"/>
                <w:szCs w:val="1"/>
                <w:color w:val="auto"/>
              </w:rPr>
            </w:pPr>
          </w:p>
        </w:tc>
      </w:tr>
      <w:tr>
        <w:trPr>
          <w:trHeight w:val="45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Guy Miller</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600" w:type="dxa"/>
            <w:vAlign w:val="bottom"/>
          </w:tcPr>
          <w:p>
            <w:pPr>
              <w:spacing w:after="0"/>
              <w:rPr>
                <w:sz w:val="19"/>
                <w:szCs w:val="19"/>
                <w:color w:val="auto"/>
              </w:rPr>
            </w:pPr>
          </w:p>
        </w:tc>
        <w:tc>
          <w:tcPr>
            <w:tcW w:w="5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454"/>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Seth Levy, attorney-in-fact</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3100" w:type="dxa"/>
            <w:vAlign w:val="bottom"/>
            <w:tcBorders>
              <w:top w:val="single" w:sz="8" w:color="auto"/>
              <w:bottom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5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40" w:hanging="332"/>
        <w:spacing w:after="0" w:line="210" w:lineRule="auto"/>
        <w:tabs>
          <w:tab w:leader="none" w:pos="340" w:val="left"/>
        </w:tabs>
        <w:numPr>
          <w:ilvl w:val="0"/>
          <w:numId w:val="20"/>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8"/>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1"/>
    </w:lvl>
  </w:abstractNum>
  <w:abstractNum w:abstractNumId="13">
    <w:nsid w:val="25E45D32"/>
    <w:multiLevelType w:val="hybridMultilevel"/>
    <w:lvl w:ilvl="0">
      <w:lvlJc w:val="left"/>
      <w:lvlText w:val="(%1)"/>
      <w:numFmt w:val="lowerLetter"/>
      <w:start w:val="1"/>
    </w:lvl>
    <w:lvl w:ilvl="1">
      <w:lvlJc w:val="left"/>
      <w:lvlText w:val="%2."/>
      <w:numFmt w:val="decimal"/>
      <w:start w:val="1"/>
    </w:lvl>
  </w:abstractNum>
  <w:abstractNum w:abstractNumId="14">
    <w:nsid w:val="519B500D"/>
    <w:multiLevelType w:val="hybridMultilevel"/>
    <w:lvl w:ilvl="0">
      <w:lvlJc w:val="left"/>
      <w:lvlText w:val="%1"/>
      <w:numFmt w:val="lowerLetter"/>
      <w:start w:val="1"/>
    </w:lvl>
    <w:lvl w:ilvl="1">
      <w:lvlJc w:val="left"/>
      <w:lvlText w:val="%2."/>
      <w:numFmt w:val="decimal"/>
      <w:start w:val="3"/>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2025-02-19T16:19:04Z</dcterms:created>
  <dcterms:modified xsi:type="dcterms:W3CDTF">2025-02-19T16:19:04Z</dcterms:modified>
</cp:coreProperties>
</file>