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18"/>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60" w:type="dxa"/>
            <w:vAlign w:val="bottom"/>
            <w:gridSpan w:val="15"/>
            <w:vMerge w:val="restart"/>
          </w:tcPr>
          <w:p>
            <w:pPr>
              <w:jc w:val="center"/>
              <w:ind w:left="91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160" w:type="dxa"/>
            <w:vAlign w:val="bottom"/>
            <w:gridSpan w:val="15"/>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60" w:type="dxa"/>
            <w:vAlign w:val="bottom"/>
            <w:gridSpan w:val="15"/>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7"/>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restart"/>
          </w:tcPr>
          <w:p>
            <w:pPr>
              <w:spacing w:after="0" w:line="240" w:lineRule="exact"/>
              <w:rPr>
                <w:rFonts w:ascii="Arial" w:cs="Arial" w:eastAsia="Arial" w:hAnsi="Arial"/>
                <w:sz w:val="21"/>
                <w:szCs w:val="21"/>
                <w:color w:val="0000EE"/>
                <w:w w:val="91"/>
              </w:rPr>
            </w:pPr>
            <w:hyperlink r:id="rId8">
              <w:r>
                <w:rPr>
                  <w:rFonts w:ascii="Arial" w:cs="Arial" w:eastAsia="Arial" w:hAnsi="Arial"/>
                  <w:sz w:val="21"/>
                  <w:szCs w:val="21"/>
                  <w:color w:val="0000EE"/>
                  <w:w w:val="91"/>
                </w:rPr>
                <w:t>Trousdale William</w:t>
              </w:r>
            </w:hyperlink>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40" w:type="dxa"/>
            <w:vAlign w:val="bottom"/>
            <w:tcBorders>
              <w:bottom w:val="single" w:sz="8" w:color="0000EE"/>
            </w:tcBorders>
            <w:gridSpan w:val="3"/>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gridSpan w:val="5"/>
            <w:vMerge w:val="restart"/>
          </w:tcPr>
          <w:p>
            <w:pPr>
              <w:ind w:left="260"/>
              <w:spacing w:after="0" w:line="240" w:lineRule="exact"/>
              <w:rPr>
                <w:sz w:val="20"/>
                <w:szCs w:val="20"/>
                <w:color w:val="auto"/>
              </w:rPr>
            </w:pPr>
            <w:r>
              <w:rPr>
                <w:rFonts w:ascii="Arial" w:cs="Arial" w:eastAsia="Arial" w:hAnsi="Arial"/>
                <w:sz w:val="21"/>
                <w:szCs w:val="21"/>
                <w:color w:val="auto"/>
              </w:rPr>
              <w:t>]</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40" w:type="dxa"/>
            <w:vAlign w:val="bottom"/>
            <w:gridSpan w:val="3"/>
          </w:tcPr>
          <w:p>
            <w:pPr>
              <w:spacing w:after="0"/>
              <w:rPr>
                <w:sz w:val="3"/>
                <w:szCs w:val="3"/>
                <w:color w:val="auto"/>
              </w:rPr>
            </w:pPr>
          </w:p>
        </w:tc>
        <w:tc>
          <w:tcPr>
            <w:tcW w:w="8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80" w:type="dxa"/>
            <w:vAlign w:val="bottom"/>
            <w:tcBorders>
              <w:top w:val="single" w:sz="8" w:color="9A9A9A"/>
            </w:tcBorders>
          </w:tcPr>
          <w:p>
            <w:pPr>
              <w:spacing w:after="0"/>
              <w:rPr>
                <w:sz w:val="4"/>
                <w:szCs w:val="4"/>
                <w:color w:val="auto"/>
              </w:rPr>
            </w:pPr>
          </w:p>
        </w:tc>
        <w:tc>
          <w:tcPr>
            <w:tcW w:w="780" w:type="dxa"/>
            <w:vAlign w:val="bottom"/>
            <w:tcBorders>
              <w:top w:val="single" w:sz="8" w:color="9A9A9A"/>
            </w:tcBorders>
          </w:tcPr>
          <w:p>
            <w:pPr>
              <w:spacing w:after="0"/>
              <w:rPr>
                <w:sz w:val="4"/>
                <w:szCs w:val="4"/>
                <w:color w:val="auto"/>
              </w:rPr>
            </w:pPr>
          </w:p>
        </w:tc>
        <w:tc>
          <w:tcPr>
            <w:tcW w:w="180" w:type="dxa"/>
            <w:vAlign w:val="bottom"/>
            <w:tcBorders>
              <w:top w:val="single" w:sz="8" w:color="9A9A9A"/>
            </w:tcBorders>
          </w:tcPr>
          <w:p>
            <w:pPr>
              <w:spacing w:after="0"/>
              <w:rPr>
                <w:sz w:val="4"/>
                <w:szCs w:val="4"/>
                <w:color w:val="auto"/>
              </w:rPr>
            </w:pPr>
          </w:p>
        </w:tc>
        <w:tc>
          <w:tcPr>
            <w:tcW w:w="860" w:type="dxa"/>
            <w:vAlign w:val="bottom"/>
            <w:tcBorders>
              <w:top w:val="single" w:sz="8" w:color="9A9A9A"/>
            </w:tcBorders>
          </w:tcPr>
          <w:p>
            <w:pPr>
              <w:spacing w:after="0"/>
              <w:rPr>
                <w:sz w:val="4"/>
                <w:szCs w:val="4"/>
                <w:color w:val="auto"/>
              </w:rPr>
            </w:pPr>
          </w:p>
        </w:tc>
        <w:tc>
          <w:tcPr>
            <w:tcW w:w="114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20" w:type="dxa"/>
            <w:vAlign w:val="bottom"/>
            <w:tcBorders>
              <w:top w:val="single" w:sz="8" w:color="2C2C2C"/>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00" w:type="dxa"/>
            <w:vAlign w:val="bottom"/>
            <w:vMerge w:val="restart"/>
          </w:tcPr>
          <w:p>
            <w:pPr>
              <w:ind w:left="140"/>
              <w:spacing w:after="0" w:line="109"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11"/>
            <w:vMerge w:val="restart"/>
          </w:tcPr>
          <w:p>
            <w:pPr>
              <w:ind w:left="12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SUN COUNTRY AIRLINES HOLDINGS,</w:t>
            </w:r>
          </w:p>
        </w:tc>
        <w:tc>
          <w:tcPr>
            <w:tcW w:w="1400" w:type="dxa"/>
            <w:vAlign w:val="bottom"/>
            <w:gridSpan w:val="7"/>
          </w:tcPr>
          <w:p>
            <w:pPr>
              <w:ind w:left="260"/>
              <w:spacing w:after="0"/>
              <w:rPr>
                <w:sz w:val="20"/>
                <w:szCs w:val="20"/>
                <w:color w:val="auto"/>
              </w:rPr>
            </w:pPr>
            <w:r>
              <w:rPr>
                <w:rFonts w:ascii="Arial" w:cs="Arial" w:eastAsia="Arial" w:hAnsi="Arial"/>
                <w:sz w:val="17"/>
                <w:szCs w:val="17"/>
                <w:color w:val="0000FF"/>
              </w:rPr>
              <w:t>06/16/2023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7" w:lineRule="exact"/>
              <w:rPr>
                <w:sz w:val="20"/>
                <w:szCs w:val="20"/>
                <w:color w:val="auto"/>
              </w:rPr>
            </w:pPr>
            <w:r>
              <w:rPr>
                <w:rFonts w:ascii="Arial" w:cs="Arial" w:eastAsia="Arial" w:hAnsi="Arial"/>
                <w:sz w:val="17"/>
                <w:szCs w:val="17"/>
                <w:color w:val="0000FF"/>
              </w:rPr>
              <w:t>INC.</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2005 CARGO ROAD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gridSpan w:val="1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55450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700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00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6"/>
          </w:tcPr>
          <w:p>
            <w:pPr>
              <w:ind w:left="18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5"/>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0"/>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(Instr. 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2,776</w:t>
            </w:r>
            <w:r>
              <w:rPr>
                <w:rFonts w:ascii="Arial" w:cs="Arial" w:eastAsia="Arial" w:hAnsi="Arial"/>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7"/>
                <w:szCs w:val="17"/>
                <w:color w:val="0000FF"/>
                <w:w w:val="93"/>
              </w:rPr>
              <w:t>2,776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040" w:type="dxa"/>
            <w:vAlign w:val="bottom"/>
            <w:gridSpan w:val="2"/>
          </w:tcPr>
          <w:p>
            <w:pPr>
              <w:jc w:val="right"/>
              <w:ind w:right="115"/>
              <w:spacing w:after="0" w:line="126" w:lineRule="exact"/>
              <w:rPr>
                <w:sz w:val="20"/>
                <w:szCs w:val="20"/>
                <w:color w:val="auto"/>
              </w:rPr>
            </w:pPr>
            <w:r>
              <w:rPr>
                <w:rFonts w:ascii="Arial" w:cs="Arial" w:eastAsia="Arial" w:hAnsi="Arial"/>
                <w:sz w:val="13"/>
                <w:szCs w:val="13"/>
                <w:color w:val="0000FF"/>
              </w:rPr>
              <w:t>06/16/2023</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06/16/2023</w:t>
            </w: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11/07/2028</w:t>
            </w:r>
          </w:p>
        </w:tc>
        <w:tc>
          <w:tcPr>
            <w:tcW w:w="66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line="126" w:lineRule="exact"/>
              <w:rPr>
                <w:sz w:val="20"/>
                <w:szCs w:val="20"/>
                <w:color w:val="auto"/>
              </w:rPr>
            </w:pPr>
            <w:r>
              <w:rPr>
                <w:rFonts w:ascii="Arial" w:cs="Arial" w:eastAsia="Arial" w:hAnsi="Arial"/>
                <w:sz w:val="13"/>
                <w:szCs w:val="13"/>
                <w:color w:val="0000FF"/>
                <w:w w:val="98"/>
              </w:rPr>
              <w:t>2,776</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-5582920</wp:posOffset>
            </wp:positionV>
            <wp:extent cx="7045960" cy="5735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440" w:firstLine="3"/>
        <w:spacing w:after="0" w:line="236"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7, 2018, the reporting person was granted an option to purchase 99,135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2,776 shares on June 16, 2023.</w:t>
      </w:r>
    </w:p>
    <w:p>
      <w:pPr>
        <w:ind w:left="6580"/>
        <w:spacing w:after="0" w:line="183"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2"/>
          <w:szCs w:val="32"/>
          <w:color w:val="0000FF"/>
          <w:vertAlign w:val="subscript"/>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23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for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948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4869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1"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50697"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2023-06-16T15:36:15Z</dcterms:created>
  <dcterms:modified xsi:type="dcterms:W3CDTF">2023-06-16T15:36:15Z</dcterms:modified>
</cp:coreProperties>
</file>